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2BA" w:rsidRPr="00045F23" w:rsidRDefault="005802BA" w:rsidP="00663BE2">
      <w:pPr>
        <w:numPr>
          <w:ilvl w:val="1"/>
          <w:numId w:val="0"/>
        </w:numPr>
        <w:spacing w:before="240" w:after="160"/>
        <w:contextualSpacing/>
        <w:jc w:val="center"/>
        <w:outlineLvl w:val="1"/>
        <w:rPr>
          <w:rFonts w:ascii="Sylfaen" w:eastAsiaTheme="majorEastAsia" w:hAnsi="Sylfaen" w:cs="Sylfaen"/>
          <w:b/>
          <w:color w:val="1F4E79" w:themeColor="accent1" w:themeShade="80"/>
          <w:sz w:val="24"/>
          <w:lang w:val="fr-FR"/>
        </w:rPr>
      </w:pPr>
      <w:r w:rsidRPr="00045F23">
        <w:rPr>
          <w:rFonts w:ascii="Sylfaen" w:eastAsiaTheme="majorEastAsia" w:hAnsi="Sylfaen" w:cs="Sylfaen"/>
          <w:b/>
          <w:color w:val="1F4E79" w:themeColor="accent1" w:themeShade="80"/>
          <w:sz w:val="24"/>
          <w:lang w:val="ka-GE"/>
        </w:rPr>
        <w:t>202</w:t>
      </w:r>
      <w:r w:rsidR="00F46419">
        <w:rPr>
          <w:rFonts w:ascii="Sylfaen" w:eastAsiaTheme="majorEastAsia" w:hAnsi="Sylfaen" w:cs="Sylfaen"/>
          <w:b/>
          <w:color w:val="1F4E79" w:themeColor="accent1" w:themeShade="80"/>
          <w:sz w:val="24"/>
          <w:lang w:val="ka-GE"/>
        </w:rPr>
        <w:t>4</w:t>
      </w:r>
      <w:r w:rsidRPr="00045F23">
        <w:rPr>
          <w:rFonts w:ascii="Sylfaen" w:eastAsiaTheme="majorEastAsia" w:hAnsi="Sylfaen" w:cs="Sylfaen"/>
          <w:b/>
          <w:color w:val="1F4E79" w:themeColor="accent1" w:themeShade="80"/>
          <w:sz w:val="24"/>
          <w:lang w:val="ka-GE"/>
        </w:rPr>
        <w:t xml:space="preserve"> წლის</w:t>
      </w:r>
      <w:r w:rsidR="00663BE2" w:rsidRPr="00045F23">
        <w:rPr>
          <w:rFonts w:ascii="Sylfaen" w:eastAsiaTheme="majorEastAsia" w:hAnsi="Sylfaen" w:cs="Sylfaen"/>
          <w:b/>
          <w:color w:val="1F4E79" w:themeColor="accent1" w:themeShade="80"/>
          <w:sz w:val="24"/>
        </w:rPr>
        <w:t xml:space="preserve"> </w:t>
      </w:r>
      <w:r w:rsidR="00663BE2" w:rsidRPr="00045F23">
        <w:rPr>
          <w:rFonts w:ascii="Sylfaen" w:eastAsiaTheme="majorEastAsia" w:hAnsi="Sylfaen" w:cs="Sylfaen"/>
          <w:b/>
          <w:color w:val="1F4E79" w:themeColor="accent1" w:themeShade="80"/>
          <w:sz w:val="24"/>
          <w:lang w:val="ka-GE"/>
        </w:rPr>
        <w:t>სახელმწიფო</w:t>
      </w:r>
      <w:r w:rsidRPr="00045F23">
        <w:rPr>
          <w:rFonts w:ascii="Sylfaen" w:eastAsiaTheme="majorEastAsia" w:hAnsi="Sylfaen" w:cs="Sylfaen"/>
          <w:b/>
          <w:color w:val="1F4E79" w:themeColor="accent1" w:themeShade="80"/>
          <w:sz w:val="24"/>
          <w:lang w:val="ka-GE"/>
        </w:rPr>
        <w:t xml:space="preserve"> ბიუჯეტის დოკუმენტში </w:t>
      </w:r>
      <w:r w:rsidR="000258A2" w:rsidRPr="00045F23">
        <w:rPr>
          <w:rFonts w:ascii="Sylfaen" w:eastAsiaTheme="majorEastAsia" w:hAnsi="Sylfaen" w:cs="Sylfaen"/>
          <w:b/>
          <w:color w:val="1F4E79" w:themeColor="accent1" w:themeShade="80"/>
          <w:sz w:val="24"/>
          <w:lang w:val="ka-GE"/>
        </w:rPr>
        <w:t>იდენტიფიცირებულ</w:t>
      </w:r>
      <w:r w:rsidRPr="00045F23">
        <w:rPr>
          <w:rFonts w:ascii="Sylfaen" w:eastAsiaTheme="majorEastAsia" w:hAnsi="Sylfaen" w:cs="Sylfaen"/>
          <w:b/>
          <w:color w:val="1F4E79" w:themeColor="accent1" w:themeShade="80"/>
          <w:sz w:val="24"/>
          <w:lang w:val="ka-GE"/>
        </w:rPr>
        <w:t xml:space="preserve">ი </w:t>
      </w:r>
      <w:proofErr w:type="spellStart"/>
      <w:r w:rsidRPr="00045F23">
        <w:rPr>
          <w:rFonts w:ascii="Sylfaen" w:eastAsiaTheme="majorEastAsia" w:hAnsi="Sylfaen" w:cs="Sylfaen"/>
          <w:b/>
          <w:color w:val="1F4E79" w:themeColor="accent1" w:themeShade="80"/>
          <w:sz w:val="24"/>
          <w:lang w:val="fr-FR"/>
        </w:rPr>
        <w:t>რისკების</w:t>
      </w:r>
      <w:proofErr w:type="spellEnd"/>
      <w:r w:rsidRPr="00045F23">
        <w:rPr>
          <w:rFonts w:ascii="Sylfaen" w:eastAsiaTheme="majorEastAsia" w:hAnsi="Sylfaen" w:cs="Sylfaen"/>
          <w:b/>
          <w:color w:val="1F4E79" w:themeColor="accent1" w:themeShade="80"/>
          <w:sz w:val="24"/>
          <w:lang w:val="fr-FR"/>
        </w:rPr>
        <w:t xml:space="preserve"> </w:t>
      </w:r>
      <w:proofErr w:type="spellStart"/>
      <w:r w:rsidRPr="00045F23">
        <w:rPr>
          <w:rFonts w:ascii="Sylfaen" w:eastAsiaTheme="majorEastAsia" w:hAnsi="Sylfaen" w:cs="Sylfaen"/>
          <w:b/>
          <w:color w:val="1F4E79" w:themeColor="accent1" w:themeShade="80"/>
          <w:sz w:val="24"/>
          <w:lang w:val="fr-FR"/>
        </w:rPr>
        <w:t>მატერიალიზაციის</w:t>
      </w:r>
      <w:proofErr w:type="spellEnd"/>
      <w:r w:rsidRPr="00045F23">
        <w:rPr>
          <w:rFonts w:ascii="Sylfaen" w:eastAsiaTheme="majorEastAsia" w:hAnsi="Sylfaen" w:cs="Sylfaen"/>
          <w:b/>
          <w:color w:val="1F4E79" w:themeColor="accent1" w:themeShade="80"/>
          <w:sz w:val="24"/>
          <w:lang w:val="fr-FR"/>
        </w:rPr>
        <w:t xml:space="preserve"> </w:t>
      </w:r>
      <w:proofErr w:type="spellStart"/>
      <w:r w:rsidRPr="00045F23">
        <w:rPr>
          <w:rFonts w:ascii="Sylfaen" w:eastAsiaTheme="majorEastAsia" w:hAnsi="Sylfaen" w:cs="Sylfaen"/>
          <w:b/>
          <w:color w:val="1F4E79" w:themeColor="accent1" w:themeShade="80"/>
          <w:sz w:val="24"/>
          <w:lang w:val="fr-FR"/>
        </w:rPr>
        <w:t>ანალიზი</w:t>
      </w:r>
      <w:proofErr w:type="spellEnd"/>
    </w:p>
    <w:p w:rsidR="005802BA" w:rsidRDefault="005802BA" w:rsidP="005802BA">
      <w:pPr>
        <w:spacing w:before="240" w:after="160"/>
        <w:jc w:val="both"/>
        <w:rPr>
          <w:rFonts w:ascii="Sylfaen" w:eastAsia="Calibri" w:hAnsi="Sylfaen" w:cs="Times New Roman"/>
          <w:sz w:val="20"/>
          <w:lang w:val="ka-GE"/>
        </w:rPr>
      </w:pPr>
    </w:p>
    <w:p w:rsidR="005802BA" w:rsidRPr="005802BA" w:rsidRDefault="000258A2" w:rsidP="005802BA">
      <w:pPr>
        <w:spacing w:before="240" w:after="160"/>
        <w:ind w:firstLine="360"/>
        <w:jc w:val="both"/>
        <w:rPr>
          <w:rFonts w:ascii="Sylfaen" w:eastAsia="Calibri" w:hAnsi="Sylfaen" w:cs="Times New Roman"/>
          <w:lang w:val="ka-GE"/>
        </w:rPr>
      </w:pPr>
      <w:r>
        <w:rPr>
          <w:rFonts w:ascii="Sylfaen" w:eastAsia="Calibri" w:hAnsi="Sylfaen" w:cs="Times New Roman"/>
          <w:lang w:val="ka-GE"/>
        </w:rPr>
        <w:t>აღნიშნული დოკუმენტი მოიცავს 202</w:t>
      </w:r>
      <w:r w:rsidR="00F46419">
        <w:rPr>
          <w:rFonts w:ascii="Sylfaen" w:eastAsia="Calibri" w:hAnsi="Sylfaen" w:cs="Times New Roman"/>
          <w:lang w:val="ka-GE"/>
        </w:rPr>
        <w:t>4</w:t>
      </w:r>
      <w:r>
        <w:rPr>
          <w:rFonts w:ascii="Sylfaen" w:eastAsia="Calibri" w:hAnsi="Sylfaen" w:cs="Times New Roman"/>
          <w:lang w:val="ka-GE"/>
        </w:rPr>
        <w:t xml:space="preserve"> წლის ბიუჯეტის კანონზე თანდართული მაკროეკონომიკური რისკების მატერიალიზაციის ანალიზს.  </w:t>
      </w:r>
      <w:r w:rsidR="005802BA">
        <w:rPr>
          <w:rFonts w:ascii="Sylfaen" w:eastAsia="Calibri" w:hAnsi="Sylfaen" w:cs="Times New Roman"/>
          <w:lang w:val="ka-GE"/>
        </w:rPr>
        <w:t>202</w:t>
      </w:r>
      <w:r w:rsidR="00F46419">
        <w:rPr>
          <w:rFonts w:ascii="Sylfaen" w:eastAsia="Calibri" w:hAnsi="Sylfaen" w:cs="Times New Roman"/>
          <w:lang w:val="ka-GE"/>
        </w:rPr>
        <w:t>3</w:t>
      </w:r>
      <w:r w:rsidR="005802BA">
        <w:rPr>
          <w:rFonts w:ascii="Sylfaen" w:eastAsia="Calibri" w:hAnsi="Sylfaen" w:cs="Times New Roman"/>
          <w:lang w:val="ka-GE"/>
        </w:rPr>
        <w:t xml:space="preserve"> წლის დეკემბერში დამტკიცებულ </w:t>
      </w:r>
      <w:r w:rsidR="005802BA" w:rsidRPr="00E6009D">
        <w:rPr>
          <w:rFonts w:ascii="Sylfaen" w:eastAsia="Calibri" w:hAnsi="Sylfaen" w:cs="Times New Roman"/>
          <w:lang w:val="ka-GE"/>
        </w:rPr>
        <w:t>202</w:t>
      </w:r>
      <w:r w:rsidR="00F46419">
        <w:rPr>
          <w:rFonts w:ascii="Sylfaen" w:eastAsia="Calibri" w:hAnsi="Sylfaen" w:cs="Times New Roman"/>
          <w:lang w:val="ka-GE"/>
        </w:rPr>
        <w:t>4</w:t>
      </w:r>
      <w:r w:rsidR="005802BA" w:rsidRPr="00E6009D">
        <w:rPr>
          <w:rFonts w:ascii="Sylfaen" w:eastAsia="Calibri" w:hAnsi="Sylfaen" w:cs="Times New Roman"/>
          <w:lang w:val="ka-GE"/>
        </w:rPr>
        <w:t xml:space="preserve"> წლის </w:t>
      </w:r>
      <w:r w:rsidR="005802BA">
        <w:rPr>
          <w:rFonts w:ascii="Sylfaen" w:eastAsia="Calibri" w:hAnsi="Sylfaen" w:cs="Times New Roman"/>
          <w:lang w:val="ka-GE"/>
        </w:rPr>
        <w:t xml:space="preserve">სახელმწიფო </w:t>
      </w:r>
      <w:r w:rsidR="005802BA" w:rsidRPr="00E6009D">
        <w:rPr>
          <w:rFonts w:ascii="Sylfaen" w:eastAsia="Calibri" w:hAnsi="Sylfaen" w:cs="Times New Roman"/>
          <w:lang w:val="ka-GE"/>
        </w:rPr>
        <w:t xml:space="preserve">ბიუჯეტის </w:t>
      </w:r>
      <w:r w:rsidR="005802BA">
        <w:rPr>
          <w:rFonts w:ascii="Sylfaen" w:eastAsia="Calibri" w:hAnsi="Sylfaen" w:cs="Times New Roman"/>
          <w:lang w:val="ka-GE"/>
        </w:rPr>
        <w:t>კანონზე თანდართულ</w:t>
      </w:r>
      <w:r w:rsidR="005802BA" w:rsidRPr="00E6009D">
        <w:rPr>
          <w:rFonts w:ascii="Sylfaen" w:eastAsia="Calibri" w:hAnsi="Sylfaen" w:cs="Times New Roman"/>
          <w:lang w:val="ka-GE"/>
        </w:rPr>
        <w:t xml:space="preserve"> </w:t>
      </w:r>
      <w:r w:rsidR="005802BA" w:rsidRPr="005802BA">
        <w:rPr>
          <w:rFonts w:ascii="Sylfaen" w:eastAsia="Calibri" w:hAnsi="Sylfaen" w:cs="Times New Roman"/>
          <w:lang w:val="ka-GE"/>
        </w:rPr>
        <w:t xml:space="preserve">სცენარების </w:t>
      </w:r>
      <w:r w:rsidR="005802BA">
        <w:rPr>
          <w:rFonts w:ascii="Sylfaen" w:eastAsia="Calibri" w:hAnsi="Sylfaen" w:cs="Times New Roman"/>
          <w:lang w:val="ka-GE"/>
        </w:rPr>
        <w:t xml:space="preserve">ანალიზის </w:t>
      </w:r>
      <w:r w:rsidR="005802BA" w:rsidRPr="005802BA">
        <w:rPr>
          <w:rFonts w:ascii="Sylfaen" w:eastAsia="Calibri" w:hAnsi="Sylfaen" w:cs="Times New Roman"/>
          <w:lang w:val="ka-GE"/>
        </w:rPr>
        <w:t xml:space="preserve">დოკუმენტში </w:t>
      </w:r>
      <w:r w:rsidR="005802BA">
        <w:rPr>
          <w:rFonts w:ascii="Sylfaen" w:eastAsia="Calibri" w:hAnsi="Sylfaen" w:cs="Times New Roman"/>
          <w:lang w:val="ka-GE"/>
        </w:rPr>
        <w:t>იდენტიფიცირებული</w:t>
      </w:r>
      <w:r w:rsidR="005802BA" w:rsidRPr="005802BA">
        <w:rPr>
          <w:rFonts w:ascii="Sylfaen" w:eastAsia="Calibri" w:hAnsi="Sylfaen" w:cs="Times New Roman"/>
          <w:lang w:val="ka-GE"/>
        </w:rPr>
        <w:t xml:space="preserve"> იყო შემდეგი რისკ ფაქტორები: </w:t>
      </w:r>
    </w:p>
    <w:p w:rsidR="005802BA" w:rsidRPr="005802BA"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ფულადი შემოდინების შემცირება</w:t>
      </w:r>
    </w:p>
    <w:p w:rsidR="005802BA" w:rsidRPr="005802BA"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ტურიზმის გლობალური სენტიმენტების გაუარესება</w:t>
      </w:r>
    </w:p>
    <w:p w:rsidR="005802BA" w:rsidRPr="005802BA" w:rsidDel="00605EC6"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sidDel="00605EC6">
        <w:rPr>
          <w:rFonts w:ascii="Sylfaen" w:eastAsia="Calibri" w:hAnsi="Sylfaen" w:cs="Times New Roman"/>
          <w:lang w:val="ka-GE"/>
        </w:rPr>
        <w:t>გლობალური სავაჭრო ბრუნვის შემცირება</w:t>
      </w:r>
    </w:p>
    <w:p w:rsidR="005802BA" w:rsidRPr="005802BA" w:rsidRDefault="005802BA" w:rsidP="005802BA">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რეგიონული რისკები</w:t>
      </w:r>
    </w:p>
    <w:p w:rsidR="005802BA" w:rsidRDefault="005802BA" w:rsidP="000258A2">
      <w:pPr>
        <w:pStyle w:val="ListParagraph"/>
        <w:numPr>
          <w:ilvl w:val="0"/>
          <w:numId w:val="1"/>
        </w:numPr>
        <w:spacing w:before="240" w:after="160" w:line="259" w:lineRule="auto"/>
        <w:jc w:val="both"/>
        <w:rPr>
          <w:rFonts w:ascii="Sylfaen" w:eastAsia="Calibri" w:hAnsi="Sylfaen" w:cs="Times New Roman"/>
          <w:lang w:val="ka-GE"/>
        </w:rPr>
      </w:pPr>
      <w:r w:rsidRPr="005802BA">
        <w:rPr>
          <w:rFonts w:ascii="Sylfaen" w:eastAsia="Calibri" w:hAnsi="Sylfaen" w:cs="Times New Roman"/>
          <w:lang w:val="ka-GE"/>
        </w:rPr>
        <w:t xml:space="preserve">გამკაცრებული მონეტარული პოლიტიკის შენარჩუნება  </w:t>
      </w:r>
    </w:p>
    <w:p w:rsidR="000258A2" w:rsidRPr="005802BA" w:rsidRDefault="000258A2" w:rsidP="000258A2">
      <w:pPr>
        <w:pStyle w:val="ListParagraph"/>
        <w:numPr>
          <w:ilvl w:val="0"/>
          <w:numId w:val="1"/>
        </w:numPr>
        <w:spacing w:before="240" w:after="160" w:line="259" w:lineRule="auto"/>
        <w:jc w:val="both"/>
        <w:rPr>
          <w:rFonts w:ascii="Sylfaen" w:eastAsia="Calibri" w:hAnsi="Sylfaen" w:cs="Times New Roman"/>
          <w:lang w:val="ka-GE"/>
        </w:rPr>
      </w:pPr>
      <w:r w:rsidRPr="000258A2">
        <w:rPr>
          <w:rFonts w:ascii="Sylfaen" w:eastAsia="Calibri" w:hAnsi="Sylfaen" w:cs="Times New Roman"/>
          <w:lang w:val="ka-GE"/>
        </w:rPr>
        <w:t>მსოფლიოში ეკონომიკური ზრდის მოსალოდნელი შემცირება</w:t>
      </w:r>
    </w:p>
    <w:p w:rsidR="005802BA" w:rsidRDefault="000258A2" w:rsidP="000258A2">
      <w:pPr>
        <w:spacing w:before="240" w:after="160" w:line="259" w:lineRule="auto"/>
        <w:ind w:firstLine="360"/>
        <w:jc w:val="both"/>
        <w:rPr>
          <w:rFonts w:ascii="Sylfaen" w:eastAsia="Calibri" w:hAnsi="Sylfaen" w:cs="Times New Roman"/>
          <w:lang w:val="ka-GE"/>
        </w:rPr>
      </w:pPr>
      <w:r w:rsidRPr="000258A2">
        <w:rPr>
          <w:rFonts w:ascii="Sylfaen" w:eastAsia="Calibri" w:hAnsi="Sylfaen" w:cs="Times New Roman"/>
          <w:lang w:val="ka-GE"/>
        </w:rPr>
        <w:t>აღნიშნული რისკების ანალიზი აჩვ</w:t>
      </w:r>
      <w:r w:rsidR="00F366A6">
        <w:rPr>
          <w:rFonts w:ascii="Sylfaen" w:eastAsia="Calibri" w:hAnsi="Sylfaen" w:cs="Times New Roman"/>
          <w:lang w:val="ka-GE"/>
        </w:rPr>
        <w:t>ე</w:t>
      </w:r>
      <w:r w:rsidRPr="000258A2">
        <w:rPr>
          <w:rFonts w:ascii="Sylfaen" w:eastAsia="Calibri" w:hAnsi="Sylfaen" w:cs="Times New Roman"/>
          <w:lang w:val="ka-GE"/>
        </w:rPr>
        <w:t>ნებს</w:t>
      </w:r>
      <w:r>
        <w:rPr>
          <w:rFonts w:ascii="Sylfaen" w:eastAsia="Calibri" w:hAnsi="Sylfaen" w:cs="Times New Roman"/>
          <w:lang w:val="ka-GE"/>
        </w:rPr>
        <w:t>,</w:t>
      </w:r>
      <w:r w:rsidRPr="000258A2">
        <w:rPr>
          <w:rFonts w:ascii="Sylfaen" w:eastAsia="Calibri" w:hAnsi="Sylfaen" w:cs="Times New Roman"/>
          <w:lang w:val="ka-GE"/>
        </w:rPr>
        <w:t xml:space="preserve"> რომ </w:t>
      </w:r>
      <w:r w:rsidRPr="00212EDB">
        <w:rPr>
          <w:rFonts w:ascii="Sylfaen" w:eastAsia="Calibri" w:hAnsi="Sylfaen" w:cs="Times New Roman"/>
          <w:color w:val="000000" w:themeColor="text1"/>
          <w:lang w:val="ka-GE"/>
        </w:rPr>
        <w:t xml:space="preserve">იდენტიფიცირებული რისკებიდან </w:t>
      </w:r>
      <w:r w:rsidR="00E46D4F">
        <w:rPr>
          <w:rFonts w:ascii="Sylfaen" w:eastAsia="Calibri" w:hAnsi="Sylfaen" w:cs="Times New Roman"/>
          <w:color w:val="000000" w:themeColor="text1"/>
        </w:rPr>
        <w:t>4</w:t>
      </w:r>
      <w:r w:rsidRPr="00212EDB">
        <w:rPr>
          <w:rFonts w:ascii="Sylfaen" w:eastAsia="Calibri" w:hAnsi="Sylfaen" w:cs="Times New Roman"/>
          <w:color w:val="000000" w:themeColor="text1"/>
          <w:lang w:val="ka-GE"/>
        </w:rPr>
        <w:t xml:space="preserve"> არ რეალიზდა, </w:t>
      </w:r>
      <w:r w:rsidR="00212EDB" w:rsidRPr="00212EDB">
        <w:rPr>
          <w:rFonts w:ascii="Sylfaen" w:eastAsia="Calibri" w:hAnsi="Sylfaen" w:cs="Times New Roman"/>
          <w:color w:val="000000" w:themeColor="text1"/>
          <w:lang w:val="ka-GE"/>
        </w:rPr>
        <w:t>1</w:t>
      </w:r>
      <w:r w:rsidRPr="00212EDB">
        <w:rPr>
          <w:rFonts w:ascii="Sylfaen" w:eastAsia="Calibri" w:hAnsi="Sylfaen" w:cs="Times New Roman"/>
          <w:color w:val="000000" w:themeColor="text1"/>
          <w:lang w:val="ka-GE"/>
        </w:rPr>
        <w:t xml:space="preserve"> მხოლოდ ნაწილობრივ</w:t>
      </w:r>
      <w:r w:rsidR="00212EDB" w:rsidRPr="00212EDB">
        <w:rPr>
          <w:rFonts w:ascii="Sylfaen" w:eastAsia="Calibri" w:hAnsi="Sylfaen" w:cs="Times New Roman"/>
          <w:color w:val="000000" w:themeColor="text1"/>
          <w:lang w:val="ka-GE"/>
        </w:rPr>
        <w:t>, ხოლო</w:t>
      </w:r>
      <w:r w:rsidR="00E46D4F">
        <w:rPr>
          <w:rFonts w:ascii="Sylfaen" w:eastAsia="Calibri" w:hAnsi="Sylfaen" w:cs="Times New Roman"/>
          <w:color w:val="000000" w:themeColor="text1"/>
        </w:rPr>
        <w:t xml:space="preserve"> 1</w:t>
      </w:r>
      <w:r w:rsidR="00212EDB" w:rsidRPr="00212EDB">
        <w:rPr>
          <w:rFonts w:ascii="Sylfaen" w:eastAsia="Calibri" w:hAnsi="Sylfaen" w:cs="Times New Roman"/>
          <w:color w:val="000000" w:themeColor="text1"/>
          <w:lang w:val="ka-GE"/>
        </w:rPr>
        <w:t xml:space="preserve"> რისკი რეალიზდა</w:t>
      </w:r>
      <w:r w:rsidRPr="00212EDB">
        <w:rPr>
          <w:rFonts w:ascii="Sylfaen" w:eastAsia="Calibri" w:hAnsi="Sylfaen" w:cs="Times New Roman"/>
          <w:color w:val="000000" w:themeColor="text1"/>
          <w:lang w:val="ka-GE"/>
        </w:rPr>
        <w:t xml:space="preserve">. </w:t>
      </w:r>
      <w:r w:rsidR="00045F23" w:rsidRPr="00212EDB">
        <w:rPr>
          <w:rFonts w:ascii="Sylfaen" w:eastAsia="Calibri" w:hAnsi="Sylfaen" w:cs="Times New Roman"/>
          <w:color w:val="000000" w:themeColor="text1"/>
          <w:lang w:val="ka-GE"/>
        </w:rPr>
        <w:t xml:space="preserve">რისკები, რომლებიც არ </w:t>
      </w:r>
      <w:r w:rsidRPr="00212EDB">
        <w:rPr>
          <w:rFonts w:ascii="Sylfaen" w:eastAsia="Calibri" w:hAnsi="Sylfaen" w:cs="Times New Roman"/>
          <w:color w:val="000000" w:themeColor="text1"/>
          <w:lang w:val="ka-GE"/>
        </w:rPr>
        <w:t>რეალიზ</w:t>
      </w:r>
      <w:r w:rsidR="00045F23" w:rsidRPr="00212EDB">
        <w:rPr>
          <w:rFonts w:ascii="Sylfaen" w:eastAsia="Calibri" w:hAnsi="Sylfaen" w:cs="Times New Roman"/>
          <w:color w:val="000000" w:themeColor="text1"/>
          <w:lang w:val="ka-GE"/>
        </w:rPr>
        <w:t>და,</w:t>
      </w:r>
      <w:r w:rsidRPr="00212EDB">
        <w:rPr>
          <w:rFonts w:ascii="Sylfaen" w:eastAsia="Calibri" w:hAnsi="Sylfaen" w:cs="Times New Roman"/>
          <w:color w:val="000000" w:themeColor="text1"/>
          <w:lang w:val="ka-GE"/>
        </w:rPr>
        <w:t xml:space="preserve"> ნეგატიურის ნაცვლად პოზიტიური მიმართულებით აისახა ქვეყნის ეკონომ</w:t>
      </w:r>
      <w:r w:rsidR="00045F23" w:rsidRPr="00212EDB">
        <w:rPr>
          <w:rFonts w:ascii="Sylfaen" w:eastAsia="Calibri" w:hAnsi="Sylfaen" w:cs="Times New Roman"/>
          <w:color w:val="000000" w:themeColor="text1"/>
          <w:lang w:val="ka-GE"/>
        </w:rPr>
        <w:t>ი</w:t>
      </w:r>
      <w:r w:rsidRPr="00212EDB">
        <w:rPr>
          <w:rFonts w:ascii="Sylfaen" w:eastAsia="Calibri" w:hAnsi="Sylfaen" w:cs="Times New Roman"/>
          <w:color w:val="000000" w:themeColor="text1"/>
          <w:lang w:val="ka-GE"/>
        </w:rPr>
        <w:t>კურ განვითარებაზე</w:t>
      </w:r>
      <w:r w:rsidR="00605EC6" w:rsidRPr="00212EDB">
        <w:rPr>
          <w:rFonts w:ascii="Sylfaen" w:eastAsia="Calibri" w:hAnsi="Sylfaen" w:cs="Times New Roman"/>
          <w:color w:val="000000" w:themeColor="text1"/>
          <w:lang w:val="ka-GE"/>
        </w:rPr>
        <w:t>. აღნიშნული რისკების მატერიალიზაციის შედეგებმა,</w:t>
      </w:r>
      <w:r w:rsidRPr="00212EDB">
        <w:rPr>
          <w:rFonts w:ascii="Sylfaen" w:eastAsia="Calibri" w:hAnsi="Sylfaen" w:cs="Times New Roman"/>
          <w:color w:val="000000" w:themeColor="text1"/>
          <w:lang w:val="ka-GE"/>
        </w:rPr>
        <w:t xml:space="preserve"> სხვა ფაქტორებთან ერთად განაპირობა თავდაპირველი 5</w:t>
      </w:r>
      <w:r w:rsidR="00605EC6" w:rsidRPr="00212EDB">
        <w:rPr>
          <w:rFonts w:ascii="Sylfaen" w:eastAsia="Calibri" w:hAnsi="Sylfaen" w:cs="Times New Roman"/>
          <w:color w:val="000000" w:themeColor="text1"/>
          <w:lang w:val="ka-GE"/>
        </w:rPr>
        <w:t>.2</w:t>
      </w:r>
      <w:r w:rsidRPr="00212EDB">
        <w:rPr>
          <w:rFonts w:ascii="Sylfaen" w:eastAsia="Calibri" w:hAnsi="Sylfaen" w:cs="Times New Roman"/>
          <w:color w:val="000000" w:themeColor="text1"/>
          <w:lang w:val="ka-GE"/>
        </w:rPr>
        <w:t xml:space="preserve">%-იანი ზრდის </w:t>
      </w:r>
      <w:r w:rsidR="00045F23" w:rsidRPr="00212EDB">
        <w:rPr>
          <w:rFonts w:ascii="Sylfaen" w:eastAsia="Calibri" w:hAnsi="Sylfaen" w:cs="Times New Roman"/>
          <w:color w:val="000000" w:themeColor="text1"/>
          <w:lang w:val="ka-GE"/>
        </w:rPr>
        <w:t>ნაცვლად</w:t>
      </w:r>
      <w:r w:rsidRPr="00212EDB">
        <w:rPr>
          <w:rFonts w:ascii="Sylfaen" w:eastAsia="Calibri" w:hAnsi="Sylfaen" w:cs="Times New Roman"/>
          <w:color w:val="000000" w:themeColor="text1"/>
          <w:lang w:val="ka-GE"/>
        </w:rPr>
        <w:t xml:space="preserve"> </w:t>
      </w:r>
      <w:r w:rsidR="00605EC6" w:rsidRPr="00212EDB">
        <w:rPr>
          <w:rFonts w:ascii="Sylfaen" w:eastAsia="Calibri" w:hAnsi="Sylfaen" w:cs="Times New Roman"/>
          <w:color w:val="000000" w:themeColor="text1"/>
          <w:lang w:val="ka-GE"/>
        </w:rPr>
        <w:t>9</w:t>
      </w:r>
      <w:r w:rsidRPr="00212EDB">
        <w:rPr>
          <w:rFonts w:ascii="Sylfaen" w:eastAsia="Calibri" w:hAnsi="Sylfaen" w:cs="Times New Roman"/>
          <w:color w:val="000000" w:themeColor="text1"/>
          <w:lang w:val="ka-GE"/>
        </w:rPr>
        <w:t>.</w:t>
      </w:r>
      <w:r w:rsidR="00212EDB" w:rsidRPr="00212EDB">
        <w:rPr>
          <w:rFonts w:ascii="Sylfaen" w:eastAsia="Calibri" w:hAnsi="Sylfaen" w:cs="Times New Roman"/>
          <w:color w:val="000000" w:themeColor="text1"/>
          <w:lang w:val="ka-GE"/>
        </w:rPr>
        <w:t>4</w:t>
      </w:r>
      <w:r w:rsidRPr="00212EDB">
        <w:rPr>
          <w:rFonts w:ascii="Sylfaen" w:eastAsia="Calibri" w:hAnsi="Sylfaen" w:cs="Times New Roman"/>
          <w:color w:val="000000" w:themeColor="text1"/>
          <w:lang w:val="ka-GE"/>
        </w:rPr>
        <w:t xml:space="preserve">%-იანი ეკონომიკური </w:t>
      </w:r>
      <w:r w:rsidRPr="000258A2">
        <w:rPr>
          <w:rFonts w:ascii="Sylfaen" w:eastAsia="Calibri" w:hAnsi="Sylfaen" w:cs="Times New Roman"/>
          <w:lang w:val="ka-GE"/>
        </w:rPr>
        <w:t>ზრდის ტემპი.</w:t>
      </w:r>
    </w:p>
    <w:p w:rsidR="000258A2" w:rsidRPr="000258A2" w:rsidRDefault="000258A2" w:rsidP="000258A2">
      <w:pPr>
        <w:spacing w:before="240" w:after="160" w:line="259" w:lineRule="auto"/>
        <w:jc w:val="both"/>
        <w:rPr>
          <w:rFonts w:ascii="Sylfaen" w:eastAsia="Calibri" w:hAnsi="Sylfaen" w:cs="Times New Roman"/>
          <w:lang w:val="ka-GE"/>
        </w:rPr>
      </w:pP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ფულადი შემოდინების შემცირება</w:t>
      </w:r>
    </w:p>
    <w:p w:rsidR="005802BA" w:rsidRDefault="005802BA" w:rsidP="005802BA">
      <w:pPr>
        <w:spacing w:before="240" w:after="160"/>
        <w:ind w:firstLine="360"/>
        <w:jc w:val="both"/>
        <w:rPr>
          <w:rFonts w:ascii="Sylfaen" w:eastAsia="Calibri" w:hAnsi="Sylfaen" w:cs="Times New Roman"/>
          <w:lang w:val="ka-GE"/>
        </w:rPr>
      </w:pPr>
      <w:r w:rsidRPr="00E6009D">
        <w:rPr>
          <w:rFonts w:ascii="Sylfaen" w:eastAsia="Calibri" w:hAnsi="Sylfaen" w:cs="Times New Roman"/>
          <w:lang w:val="ka-GE"/>
        </w:rPr>
        <w:t xml:space="preserve">პანდემიის დასრულებისა და რუსეთის მიერ უკრაინაში შეჭრის შემდეგ მნიშვნელოვნად იყო გაზრდილი საქართველოში როგორც ტურიზმიდან მიღებული შემოსავალი, ასევე </w:t>
      </w:r>
      <w:r w:rsidR="00BF2098">
        <w:rPr>
          <w:rFonts w:ascii="Sylfaen" w:eastAsia="Calibri" w:hAnsi="Sylfaen" w:cs="Times New Roman"/>
        </w:rPr>
        <w:t xml:space="preserve">- </w:t>
      </w:r>
      <w:r w:rsidRPr="00E6009D">
        <w:rPr>
          <w:rFonts w:ascii="Sylfaen" w:eastAsia="Calibri" w:hAnsi="Sylfaen" w:cs="Times New Roman"/>
          <w:lang w:val="ka-GE"/>
        </w:rPr>
        <w:t>გადმორიცხული ფულადი თანხები</w:t>
      </w:r>
      <w:r w:rsidR="00BF2098">
        <w:rPr>
          <w:rFonts w:ascii="Sylfaen" w:eastAsia="Calibri" w:hAnsi="Sylfaen" w:cs="Times New Roman"/>
        </w:rPr>
        <w:t xml:space="preserve">. </w:t>
      </w:r>
      <w:r w:rsidR="00BF2098" w:rsidRPr="00E6009D">
        <w:rPr>
          <w:rFonts w:ascii="Sylfaen" w:eastAsia="Calibri" w:hAnsi="Sylfaen" w:cs="Times New Roman"/>
          <w:lang w:val="ka-GE"/>
        </w:rPr>
        <w:t>იქიდან გამომდინარე, რომ</w:t>
      </w:r>
      <w:r w:rsidR="00BF2098">
        <w:rPr>
          <w:rFonts w:ascii="Sylfaen" w:eastAsia="Calibri" w:hAnsi="Sylfaen" w:cs="Times New Roman"/>
        </w:rPr>
        <w:t xml:space="preserve"> ა</w:t>
      </w:r>
      <w:r w:rsidR="00BF2098">
        <w:rPr>
          <w:rFonts w:ascii="Sylfaen" w:eastAsia="Calibri" w:hAnsi="Sylfaen" w:cs="Times New Roman"/>
          <w:lang w:val="ka-GE"/>
        </w:rPr>
        <w:t xml:space="preserve">ღნიშნულ პერიოდში ტურიზმიდან შემოსავლის ზრდის ერთ-ერთ წყაროს წარმოადგენდა რუსეთიდან, უკრაინიდან და ბელარუსიდან შემოსული მოსახლეობა და მათ მიერ გაწეული ხარჯები, რასაც თან ახლდა გაზრდილი ფულადი გზავნილებისა და ჩარიცხვების მაჩვენებელი, მოსალოდნელი იყო, რომ აღნიშნული ტენდენცია მუდმივად არ გაგრძელდებოდა და </w:t>
      </w:r>
      <w:r w:rsidR="00C46AAF">
        <w:rPr>
          <w:rFonts w:ascii="Sylfaen" w:eastAsia="Calibri" w:hAnsi="Sylfaen" w:cs="Times New Roman"/>
          <w:lang w:val="ka-GE"/>
        </w:rPr>
        <w:t xml:space="preserve">2024 წელს ადგილი ექნებოდა ფულადი შემოდინებების შემცირებას. </w:t>
      </w:r>
      <w:r w:rsidRPr="00E6009D">
        <w:rPr>
          <w:rFonts w:ascii="Sylfaen" w:eastAsia="Calibri" w:hAnsi="Sylfaen" w:cs="Times New Roman"/>
          <w:lang w:val="ka-GE"/>
        </w:rPr>
        <w:t>აღსანიშნავია, რომ 202</w:t>
      </w:r>
      <w:r w:rsidR="00C46AAF">
        <w:rPr>
          <w:rFonts w:ascii="Sylfaen" w:eastAsia="Calibri" w:hAnsi="Sylfaen" w:cs="Times New Roman"/>
          <w:lang w:val="ka-GE"/>
        </w:rPr>
        <w:t>4</w:t>
      </w:r>
      <w:r w:rsidRPr="00E6009D">
        <w:rPr>
          <w:rFonts w:ascii="Sylfaen" w:eastAsia="Calibri" w:hAnsi="Sylfaen" w:cs="Times New Roman"/>
          <w:lang w:val="ka-GE"/>
        </w:rPr>
        <w:t xml:space="preserve"> წელს ჩარიცხული ფულადი გზავნილების ოდენობა შემცირდა </w:t>
      </w:r>
      <w:r w:rsidR="00A6597F">
        <w:rPr>
          <w:rFonts w:ascii="Sylfaen" w:eastAsia="Calibri" w:hAnsi="Sylfaen" w:cs="Times New Roman"/>
        </w:rPr>
        <w:t>18.9</w:t>
      </w:r>
      <w:r w:rsidRPr="00E6009D">
        <w:rPr>
          <w:rFonts w:ascii="Sylfaen" w:eastAsia="Calibri" w:hAnsi="Sylfaen" w:cs="Times New Roman"/>
          <w:lang w:val="ka-GE"/>
        </w:rPr>
        <w:t xml:space="preserve">%-ით. ამასთან, შემცირება დაიწყო 2023 წლის მაისიდან და კლებაში ძირითადი წვლილი რუსეთიდან ფულადი გზავნილების კლებამ შეიტანა, როგორც მოსალოდნელი იყო. </w:t>
      </w:r>
      <w:r w:rsidR="00A6597F">
        <w:rPr>
          <w:rFonts w:ascii="Sylfaen" w:eastAsia="Calibri" w:hAnsi="Sylfaen" w:cs="Times New Roman"/>
        </w:rPr>
        <w:t xml:space="preserve">2024 </w:t>
      </w:r>
      <w:r w:rsidR="00A6597F">
        <w:rPr>
          <w:rFonts w:ascii="Sylfaen" w:eastAsia="Calibri" w:hAnsi="Sylfaen" w:cs="Times New Roman"/>
          <w:lang w:val="ka-GE"/>
        </w:rPr>
        <w:t xml:space="preserve">წელს </w:t>
      </w:r>
      <w:r w:rsidRPr="00E6009D">
        <w:rPr>
          <w:rFonts w:ascii="Sylfaen" w:eastAsia="Calibri" w:hAnsi="Sylfaen" w:cs="Times New Roman"/>
          <w:lang w:val="ka-GE"/>
        </w:rPr>
        <w:t xml:space="preserve">გზავნილების შემცირება დაფიქსირებულია </w:t>
      </w:r>
      <w:r w:rsidR="00A6597F">
        <w:rPr>
          <w:rFonts w:ascii="Sylfaen" w:eastAsia="Calibri" w:hAnsi="Sylfaen" w:cs="Times New Roman"/>
          <w:lang w:val="ka-GE"/>
        </w:rPr>
        <w:t>რუსეთიდან</w:t>
      </w:r>
      <w:r w:rsidR="00A6597F" w:rsidRPr="00E6009D">
        <w:rPr>
          <w:rFonts w:ascii="Sylfaen" w:eastAsia="Calibri" w:hAnsi="Sylfaen" w:cs="Times New Roman"/>
          <w:lang w:val="ka-GE"/>
        </w:rPr>
        <w:t xml:space="preserve"> </w:t>
      </w:r>
      <w:r w:rsidRPr="00E6009D">
        <w:rPr>
          <w:rFonts w:ascii="Sylfaen" w:eastAsia="Calibri" w:hAnsi="Sylfaen" w:cs="Times New Roman"/>
          <w:lang w:val="ka-GE"/>
        </w:rPr>
        <w:t xml:space="preserve">და </w:t>
      </w:r>
      <w:r w:rsidR="00A6597F">
        <w:rPr>
          <w:rFonts w:ascii="Sylfaen" w:eastAsia="Calibri" w:hAnsi="Sylfaen" w:cs="Times New Roman"/>
          <w:lang w:val="ka-GE"/>
        </w:rPr>
        <w:t>ყაზახეთიდან, სადაც რუსეთიდან ფულადი გზავნილების შემცირების წვლილი 23.8 პროცენტულ პუნქტს შეადგენს</w:t>
      </w:r>
      <w:r w:rsidRPr="00E6009D">
        <w:rPr>
          <w:rFonts w:ascii="Sylfaen" w:eastAsia="Calibri" w:hAnsi="Sylfaen" w:cs="Times New Roman"/>
          <w:lang w:val="ka-GE"/>
        </w:rPr>
        <w:t xml:space="preserve">. აღსანიშნავია, რომ </w:t>
      </w:r>
      <w:r w:rsidRPr="00E6009D">
        <w:rPr>
          <w:rFonts w:ascii="Sylfaen" w:eastAsia="Calibri" w:hAnsi="Sylfaen" w:cs="Times New Roman"/>
          <w:lang w:val="ka-GE"/>
        </w:rPr>
        <w:lastRenderedPageBreak/>
        <w:t>202</w:t>
      </w:r>
      <w:r w:rsidR="00A6597F">
        <w:rPr>
          <w:rFonts w:ascii="Sylfaen" w:eastAsia="Calibri" w:hAnsi="Sylfaen" w:cs="Times New Roman"/>
          <w:lang w:val="ka-GE"/>
        </w:rPr>
        <w:t>4</w:t>
      </w:r>
      <w:r w:rsidRPr="00E6009D">
        <w:rPr>
          <w:rFonts w:ascii="Sylfaen" w:eastAsia="Calibri" w:hAnsi="Sylfaen" w:cs="Times New Roman"/>
          <w:lang w:val="ka-GE"/>
        </w:rPr>
        <w:t xml:space="preserve"> წელს ტურიზმიდან შემოსავლები გაიზარდა 7.3%-ით, რაც ნომინალურ გამოსახულებაში </w:t>
      </w:r>
      <w:r w:rsidR="00A6597F">
        <w:rPr>
          <w:rFonts w:ascii="Sylfaen" w:eastAsia="Calibri" w:hAnsi="Sylfaen" w:cs="Times New Roman"/>
          <w:lang w:val="ka-GE"/>
        </w:rPr>
        <w:t>3</w:t>
      </w:r>
      <w:r w:rsidRPr="00E6009D">
        <w:rPr>
          <w:rFonts w:ascii="Sylfaen" w:eastAsia="Calibri" w:hAnsi="Sylfaen" w:cs="Times New Roman"/>
          <w:lang w:val="ka-GE"/>
        </w:rPr>
        <w:t xml:space="preserve">00 მლნ აშშ დოლარს შეადგენს. შესაბამისად, </w:t>
      </w:r>
      <w:r w:rsidR="00A6597F">
        <w:rPr>
          <w:rFonts w:ascii="Sylfaen" w:eastAsia="Calibri" w:hAnsi="Sylfaen" w:cs="Times New Roman"/>
          <w:lang w:val="ka-GE"/>
        </w:rPr>
        <w:t xml:space="preserve">ფულადი გზავნილების კლება უფრო მაღალია, ვიდრე ტურიზმიდან მიღებული შემოსავლების ზრდა, რაც გულისხმობს რომ </w:t>
      </w:r>
      <w:r w:rsidRPr="00E6009D">
        <w:rPr>
          <w:rFonts w:ascii="Sylfaen" w:eastAsia="Calibri" w:hAnsi="Sylfaen" w:cs="Times New Roman"/>
          <w:lang w:val="ka-GE"/>
        </w:rPr>
        <w:t xml:space="preserve">მიუხედავად </w:t>
      </w:r>
      <w:r w:rsidR="00A6597F">
        <w:rPr>
          <w:rFonts w:ascii="Sylfaen" w:eastAsia="Calibri" w:hAnsi="Sylfaen" w:cs="Times New Roman"/>
          <w:lang w:val="ka-GE"/>
        </w:rPr>
        <w:t xml:space="preserve">ტურიზმიდან შემოსავლების ზრდისა, მან მაინც ვერ </w:t>
      </w:r>
      <w:r w:rsidRPr="00E6009D">
        <w:rPr>
          <w:rFonts w:ascii="Sylfaen" w:eastAsia="Calibri" w:hAnsi="Sylfaen" w:cs="Times New Roman"/>
          <w:lang w:val="ka-GE"/>
        </w:rPr>
        <w:t xml:space="preserve">დააკომპენსირა </w:t>
      </w:r>
      <w:r w:rsidR="00A6597F">
        <w:rPr>
          <w:rFonts w:ascii="Sylfaen" w:eastAsia="Calibri" w:hAnsi="Sylfaen" w:cs="Times New Roman"/>
          <w:lang w:val="ka-GE"/>
        </w:rPr>
        <w:t xml:space="preserve">ფულადი გზავნილების </w:t>
      </w:r>
      <w:r w:rsidRPr="00E6009D">
        <w:rPr>
          <w:rFonts w:ascii="Sylfaen" w:eastAsia="Calibri" w:hAnsi="Sylfaen" w:cs="Times New Roman"/>
          <w:lang w:val="ka-GE"/>
        </w:rPr>
        <w:t xml:space="preserve">აღნიშნული </w:t>
      </w:r>
      <w:r w:rsidR="00A6597F">
        <w:rPr>
          <w:rFonts w:ascii="Sylfaen" w:eastAsia="Calibri" w:hAnsi="Sylfaen" w:cs="Times New Roman"/>
          <w:lang w:val="ka-GE"/>
        </w:rPr>
        <w:t>შემცირება</w:t>
      </w:r>
      <w:r w:rsidRPr="00E6009D">
        <w:rPr>
          <w:rFonts w:ascii="Sylfaen" w:eastAsia="Calibri" w:hAnsi="Sylfaen" w:cs="Times New Roman"/>
          <w:lang w:val="ka-GE"/>
        </w:rPr>
        <w:t xml:space="preserve"> და საბოლოოდ, ამ ორი არხის საშუალებით ფულადი შემოდინებების </w:t>
      </w:r>
      <w:r w:rsidR="00A6597F">
        <w:rPr>
          <w:rFonts w:ascii="Sylfaen" w:eastAsia="Calibri" w:hAnsi="Sylfaen" w:cs="Times New Roman"/>
          <w:lang w:val="ka-GE"/>
        </w:rPr>
        <w:t>კლება</w:t>
      </w:r>
      <w:r w:rsidRPr="00E6009D">
        <w:rPr>
          <w:rFonts w:ascii="Sylfaen" w:eastAsia="Calibri" w:hAnsi="Sylfaen" w:cs="Times New Roman"/>
          <w:lang w:val="ka-GE"/>
        </w:rPr>
        <w:t xml:space="preserve"> გამოიწვია </w:t>
      </w:r>
      <w:r w:rsidR="00A6597F">
        <w:rPr>
          <w:rFonts w:ascii="Sylfaen" w:eastAsia="Calibri" w:hAnsi="Sylfaen" w:cs="Times New Roman"/>
          <w:lang w:val="ka-GE"/>
        </w:rPr>
        <w:t>485</w:t>
      </w:r>
      <w:r w:rsidRPr="00E6009D">
        <w:rPr>
          <w:rFonts w:ascii="Sylfaen" w:eastAsia="Calibri" w:hAnsi="Sylfaen" w:cs="Times New Roman"/>
          <w:lang w:val="ka-GE"/>
        </w:rPr>
        <w:t xml:space="preserve"> მლნ აშშ დოლარით. ყოველივე აღნიშნულის გათვალისწინებით, შეგვიძლია ვთქვათ რომ </w:t>
      </w:r>
      <w:r w:rsidR="00A6597F">
        <w:rPr>
          <w:rFonts w:ascii="Sylfaen" w:eastAsia="Calibri" w:hAnsi="Sylfaen" w:cs="Times New Roman"/>
          <w:lang w:val="ka-GE"/>
        </w:rPr>
        <w:t xml:space="preserve">2024 წელს ადგილი ჰქონდა </w:t>
      </w:r>
      <w:r w:rsidRPr="00E6009D">
        <w:rPr>
          <w:rFonts w:ascii="Sylfaen" w:eastAsia="Calibri" w:hAnsi="Sylfaen" w:cs="Times New Roman"/>
          <w:lang w:val="ka-GE"/>
        </w:rPr>
        <w:t xml:space="preserve">ფულად შემოდინებებთან დაკავშირებული რისკის მატერიალიზებას და ფულადი შემოდინებები </w:t>
      </w:r>
      <w:r w:rsidR="00A6597F">
        <w:rPr>
          <w:rFonts w:ascii="Sylfaen" w:eastAsia="Calibri" w:hAnsi="Sylfaen" w:cs="Times New Roman"/>
          <w:lang w:val="ka-GE"/>
        </w:rPr>
        <w:t>შემცირდა</w:t>
      </w:r>
      <w:r w:rsidRPr="00E6009D">
        <w:rPr>
          <w:rFonts w:ascii="Sylfaen" w:eastAsia="Calibri" w:hAnsi="Sylfaen" w:cs="Times New Roman"/>
          <w:lang w:val="ka-GE"/>
        </w:rPr>
        <w:t xml:space="preserve">. </w:t>
      </w:r>
    </w:p>
    <w:p w:rsidR="008854F9" w:rsidRPr="00E6009D" w:rsidRDefault="008854F9" w:rsidP="005802BA">
      <w:pPr>
        <w:spacing w:before="240" w:after="160"/>
        <w:ind w:firstLine="360"/>
        <w:jc w:val="both"/>
        <w:rPr>
          <w:rFonts w:ascii="Sylfaen" w:eastAsia="Calibri" w:hAnsi="Sylfaen" w:cs="Times New Roman"/>
        </w:rPr>
      </w:pP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ტურიზმის გლობალური სენტიმენტების გაუარესება</w:t>
      </w:r>
    </w:p>
    <w:p w:rsidR="005802BA" w:rsidRDefault="005802BA" w:rsidP="005802BA">
      <w:pPr>
        <w:spacing w:before="240" w:after="160"/>
        <w:ind w:firstLine="360"/>
        <w:jc w:val="both"/>
        <w:rPr>
          <w:rFonts w:ascii="Sylfaen" w:eastAsia="Calibri" w:hAnsi="Sylfaen" w:cs="Times New Roman"/>
          <w:lang w:val="ka-GE"/>
        </w:rPr>
      </w:pPr>
      <w:r w:rsidRPr="00E6009D">
        <w:rPr>
          <w:rFonts w:ascii="Sylfaen" w:eastAsia="Calibri" w:hAnsi="Sylfaen" w:cs="Times New Roman"/>
          <w:lang w:val="ka-GE"/>
        </w:rPr>
        <w:t xml:space="preserve">არ რეალიზდა ტურიზმის გლობალური სენტიმენტების გაუარესებასთან დაკავშირებული რისკი. რისკ-ფაქტორებში აღნიშნული იყო, რომ მიუხედავად არსებული დადებითი ტენდენციებისა, კვლავ გამოწვევად რჩებოდა საშუალოვადიანი პერიოდისთვის ტურიზმის გაუმჯობესებასთან დაკავშირებული საკითხები. </w:t>
      </w:r>
      <w:r w:rsidR="0065774D">
        <w:rPr>
          <w:rFonts w:ascii="Sylfaen" w:eastAsia="Calibri" w:hAnsi="Sylfaen" w:cs="Times New Roman"/>
          <w:lang w:val="ka-GE"/>
        </w:rPr>
        <w:t>2024 წელს გაიზარდა როგორც საერთაშორისო ტურისტებისა და ვიზიტორების რაოდენობა</w:t>
      </w:r>
      <w:r w:rsidR="002F5418">
        <w:rPr>
          <w:rFonts w:ascii="Sylfaen" w:eastAsia="Calibri" w:hAnsi="Sylfaen" w:cs="Times New Roman"/>
          <w:lang w:val="ka-GE"/>
        </w:rPr>
        <w:t>, რამაც</w:t>
      </w:r>
      <w:r w:rsidR="0065774D">
        <w:rPr>
          <w:rFonts w:ascii="Sylfaen" w:eastAsia="Calibri" w:hAnsi="Sylfaen" w:cs="Times New Roman"/>
          <w:lang w:val="ka-GE"/>
        </w:rPr>
        <w:t xml:space="preserve"> შეადგინა </w:t>
      </w:r>
      <w:r w:rsidR="002F5418">
        <w:rPr>
          <w:rFonts w:ascii="Sylfaen" w:eastAsia="Calibri" w:hAnsi="Sylfaen" w:cs="Times New Roman"/>
          <w:lang w:val="ka-GE"/>
        </w:rPr>
        <w:t>შესაბამისად 9.0</w:t>
      </w:r>
      <w:r w:rsidR="0065774D">
        <w:rPr>
          <w:rFonts w:ascii="Sylfaen" w:eastAsia="Calibri" w:hAnsi="Sylfaen" w:cs="Times New Roman"/>
          <w:lang w:val="ka-GE"/>
        </w:rPr>
        <w:t xml:space="preserve"> და </w:t>
      </w:r>
      <w:r w:rsidR="002F5418">
        <w:rPr>
          <w:rFonts w:ascii="Sylfaen" w:eastAsia="Calibri" w:hAnsi="Sylfaen" w:cs="Times New Roman"/>
          <w:lang w:val="ka-GE"/>
        </w:rPr>
        <w:t>4.6</w:t>
      </w:r>
      <w:r w:rsidR="0065774D">
        <w:rPr>
          <w:rFonts w:ascii="Sylfaen" w:eastAsia="Calibri" w:hAnsi="Sylfaen" w:cs="Times New Roman"/>
          <w:lang w:val="ka-GE"/>
        </w:rPr>
        <w:t xml:space="preserve"> პროცენტი, ასევე ტურიზმიდან მიღებული შემოსავალი გაზრდილია 7.3 პროცენტით </w:t>
      </w:r>
      <w:r w:rsidRPr="00E6009D">
        <w:rPr>
          <w:rFonts w:ascii="Sylfaen" w:eastAsia="Calibri" w:hAnsi="Sylfaen" w:cs="Times New Roman"/>
          <w:lang w:val="ka-GE"/>
        </w:rPr>
        <w:t xml:space="preserve">(რაც 2019 წელთან შედარებით </w:t>
      </w:r>
      <w:r w:rsidR="0065774D">
        <w:rPr>
          <w:rFonts w:ascii="Sylfaen" w:eastAsia="Calibri" w:hAnsi="Sylfaen" w:cs="Times New Roman"/>
          <w:lang w:val="ka-GE"/>
        </w:rPr>
        <w:t>35.4</w:t>
      </w:r>
      <w:r w:rsidRPr="00E6009D">
        <w:rPr>
          <w:rFonts w:ascii="Sylfaen" w:eastAsia="Calibri" w:hAnsi="Sylfaen" w:cs="Times New Roman"/>
          <w:lang w:val="ka-GE"/>
        </w:rPr>
        <w:t xml:space="preserve"> პროცენტიან ზრდას გულისხმობს). აღსანიშნავია, რომ </w:t>
      </w:r>
      <w:r w:rsidR="002F5418">
        <w:rPr>
          <w:rFonts w:ascii="Sylfaen" w:eastAsia="Calibri" w:hAnsi="Sylfaen" w:cs="Times New Roman"/>
          <w:lang w:val="ka-GE"/>
        </w:rPr>
        <w:t>ტურიზმიდან მიღებული შემოსავლის</w:t>
      </w:r>
      <w:r w:rsidR="002F5418" w:rsidRPr="00E6009D">
        <w:rPr>
          <w:rFonts w:ascii="Sylfaen" w:eastAsia="Calibri" w:hAnsi="Sylfaen" w:cs="Times New Roman"/>
          <w:lang w:val="ka-GE"/>
        </w:rPr>
        <w:t xml:space="preserve"> </w:t>
      </w:r>
      <w:r w:rsidRPr="00E6009D">
        <w:rPr>
          <w:rFonts w:ascii="Sylfaen" w:eastAsia="Calibri" w:hAnsi="Sylfaen" w:cs="Times New Roman"/>
          <w:lang w:val="ka-GE"/>
        </w:rPr>
        <w:t xml:space="preserve">ზრდაში მაღალია </w:t>
      </w:r>
      <w:r w:rsidR="0065774D">
        <w:rPr>
          <w:rFonts w:ascii="Sylfaen" w:eastAsia="Calibri" w:hAnsi="Sylfaen" w:cs="Times New Roman"/>
          <w:lang w:val="ka-GE"/>
        </w:rPr>
        <w:t xml:space="preserve">ისრაელის (3.1 პ.პ) </w:t>
      </w:r>
      <w:r w:rsidRPr="00E6009D">
        <w:rPr>
          <w:rFonts w:ascii="Sylfaen" w:eastAsia="Calibri" w:hAnsi="Sylfaen" w:cs="Times New Roman"/>
          <w:lang w:val="ka-GE"/>
        </w:rPr>
        <w:t>წვლილი</w:t>
      </w:r>
      <w:r w:rsidR="0065774D">
        <w:rPr>
          <w:rFonts w:ascii="Sylfaen" w:eastAsia="Calibri" w:hAnsi="Sylfaen" w:cs="Times New Roman"/>
          <w:lang w:val="ka-GE"/>
        </w:rPr>
        <w:t>, ხოლო რუსეთმა უარყოფითი (-2.1 პ.პ) წვლილი შეიტანა</w:t>
      </w:r>
      <w:r w:rsidRPr="00E6009D">
        <w:rPr>
          <w:rFonts w:ascii="Sylfaen" w:eastAsia="Calibri" w:hAnsi="Sylfaen" w:cs="Times New Roman"/>
          <w:lang w:val="ka-GE"/>
        </w:rPr>
        <w:t xml:space="preserve">. </w:t>
      </w:r>
    </w:p>
    <w:p w:rsidR="0065774D" w:rsidRPr="00E6009D" w:rsidRDefault="0065774D" w:rsidP="005802BA">
      <w:pPr>
        <w:spacing w:before="240" w:after="160"/>
        <w:ind w:firstLine="360"/>
        <w:jc w:val="both"/>
        <w:rPr>
          <w:rFonts w:ascii="Sylfaen" w:eastAsia="Calibri" w:hAnsi="Sylfaen" w:cs="Times New Roman"/>
          <w:lang w:val="ka-GE"/>
        </w:rPr>
      </w:pPr>
    </w:p>
    <w:p w:rsidR="005802BA" w:rsidRPr="000258A2" w:rsidDel="00605EC6" w:rsidRDefault="005802BA" w:rsidP="000258A2">
      <w:pPr>
        <w:spacing w:before="240" w:after="160" w:line="259" w:lineRule="auto"/>
        <w:jc w:val="both"/>
        <w:rPr>
          <w:rFonts w:ascii="Sylfaen" w:eastAsia="Calibri" w:hAnsi="Sylfaen" w:cs="Times New Roman"/>
          <w:b/>
          <w:lang w:val="ka-GE"/>
        </w:rPr>
      </w:pPr>
      <w:r w:rsidRPr="000258A2" w:rsidDel="00605EC6">
        <w:rPr>
          <w:rFonts w:ascii="Sylfaen" w:eastAsia="Calibri" w:hAnsi="Sylfaen" w:cs="Times New Roman"/>
          <w:b/>
          <w:lang w:val="ka-GE"/>
        </w:rPr>
        <w:t>გლობალური სავაჭრო ბრუნვის შემცირება</w:t>
      </w:r>
    </w:p>
    <w:p w:rsidR="000417B4" w:rsidRDefault="005802BA" w:rsidP="005802BA">
      <w:pPr>
        <w:pStyle w:val="NormalWeb"/>
        <w:spacing w:line="276" w:lineRule="auto"/>
        <w:ind w:firstLine="360"/>
        <w:jc w:val="both"/>
        <w:rPr>
          <w:rFonts w:ascii="Sylfaen" w:eastAsia="Calibri" w:hAnsi="Sylfaen"/>
          <w:sz w:val="22"/>
          <w:szCs w:val="22"/>
          <w:lang w:val="ka-GE"/>
        </w:rPr>
      </w:pPr>
      <w:r w:rsidRPr="00E6009D" w:rsidDel="00605EC6">
        <w:rPr>
          <w:rFonts w:ascii="Sylfaen" w:eastAsia="Calibri" w:hAnsi="Sylfaen"/>
          <w:sz w:val="22"/>
          <w:szCs w:val="22"/>
          <w:lang w:val="ka-GE"/>
        </w:rPr>
        <w:t xml:space="preserve">გლობალური სავაჭრო ბრუნვის შემცირების </w:t>
      </w:r>
      <w:r w:rsidRPr="00012156" w:rsidDel="00605EC6">
        <w:rPr>
          <w:rFonts w:ascii="Sylfaen" w:eastAsia="Calibri" w:hAnsi="Sylfaen"/>
          <w:color w:val="000000" w:themeColor="text1"/>
          <w:sz w:val="22"/>
          <w:szCs w:val="22"/>
          <w:lang w:val="ka-GE"/>
        </w:rPr>
        <w:t xml:space="preserve">რისკი </w:t>
      </w:r>
      <w:r w:rsidR="00E46D4F">
        <w:rPr>
          <w:rFonts w:ascii="Sylfaen" w:eastAsia="Calibri" w:hAnsi="Sylfaen"/>
          <w:color w:val="000000" w:themeColor="text1"/>
          <w:sz w:val="22"/>
          <w:szCs w:val="22"/>
          <w:lang w:val="ka-GE"/>
        </w:rPr>
        <w:t xml:space="preserve">არ </w:t>
      </w:r>
      <w:r w:rsidRPr="00012156" w:rsidDel="00605EC6">
        <w:rPr>
          <w:rFonts w:ascii="Sylfaen" w:eastAsia="Calibri" w:hAnsi="Sylfaen"/>
          <w:color w:val="000000" w:themeColor="text1"/>
          <w:sz w:val="22"/>
          <w:szCs w:val="22"/>
          <w:lang w:val="ka-GE"/>
        </w:rPr>
        <w:t>რეალიზდა 202</w:t>
      </w:r>
      <w:r w:rsidR="00185086" w:rsidRPr="00012156">
        <w:rPr>
          <w:rFonts w:ascii="Sylfaen" w:eastAsia="Calibri" w:hAnsi="Sylfaen"/>
          <w:color w:val="000000" w:themeColor="text1"/>
          <w:sz w:val="22"/>
          <w:szCs w:val="22"/>
        </w:rPr>
        <w:t>4</w:t>
      </w:r>
      <w:r w:rsidRPr="00012156" w:rsidDel="00605EC6">
        <w:rPr>
          <w:rFonts w:ascii="Sylfaen" w:eastAsia="Calibri" w:hAnsi="Sylfaen"/>
          <w:color w:val="000000" w:themeColor="text1"/>
          <w:sz w:val="22"/>
          <w:szCs w:val="22"/>
          <w:lang w:val="ka-GE"/>
        </w:rPr>
        <w:t xml:space="preserve"> წელს. აღსანიშნავია, რომ 2020 წელს სავაჭრო ბრუნვის შემცირების შემდეგ </w:t>
      </w:r>
      <w:r w:rsidRPr="00E6009D" w:rsidDel="00605EC6">
        <w:rPr>
          <w:rFonts w:ascii="Sylfaen" w:eastAsia="Calibri" w:hAnsi="Sylfaen"/>
          <w:sz w:val="22"/>
          <w:szCs w:val="22"/>
          <w:lang w:val="ka-GE"/>
        </w:rPr>
        <w:t>მისი გაუმჯობესება დაიწყო მოსალოდნელზე უფრო სწრაფი ტემპებით. თუმცა, 202</w:t>
      </w:r>
      <w:r w:rsidR="00185086">
        <w:rPr>
          <w:rFonts w:ascii="Sylfaen" w:eastAsia="Calibri" w:hAnsi="Sylfaen"/>
          <w:sz w:val="22"/>
          <w:szCs w:val="22"/>
        </w:rPr>
        <w:t>4</w:t>
      </w:r>
      <w:r w:rsidRPr="00E6009D" w:rsidDel="00605EC6">
        <w:rPr>
          <w:rFonts w:ascii="Sylfaen" w:eastAsia="Calibri" w:hAnsi="Sylfaen"/>
          <w:sz w:val="22"/>
          <w:szCs w:val="22"/>
          <w:lang w:val="ka-GE"/>
        </w:rPr>
        <w:t xml:space="preserve"> წლის ოქტომბერში საერთაშორისო სავალუტო ფონდის მიერ გაკეთებული შეფასებით, 202</w:t>
      </w:r>
      <w:r w:rsidR="00185086">
        <w:rPr>
          <w:rFonts w:ascii="Sylfaen" w:eastAsia="Calibri" w:hAnsi="Sylfaen"/>
          <w:sz w:val="22"/>
          <w:szCs w:val="22"/>
        </w:rPr>
        <w:t>4</w:t>
      </w:r>
      <w:r w:rsidRPr="00E6009D" w:rsidDel="00605EC6">
        <w:rPr>
          <w:rFonts w:ascii="Sylfaen" w:eastAsia="Calibri" w:hAnsi="Sylfaen"/>
          <w:sz w:val="22"/>
          <w:szCs w:val="22"/>
          <w:lang w:val="ka-GE"/>
        </w:rPr>
        <w:t xml:space="preserve"> წელს მოსალოდნელი იყო მსოფლიო საქონლის ექსპორტის </w:t>
      </w:r>
      <w:r w:rsidR="00185086">
        <w:rPr>
          <w:rFonts w:ascii="Sylfaen" w:eastAsia="Calibri" w:hAnsi="Sylfaen"/>
          <w:sz w:val="22"/>
          <w:szCs w:val="22"/>
        </w:rPr>
        <w:t xml:space="preserve">2.8 </w:t>
      </w:r>
      <w:r w:rsidR="00185086">
        <w:rPr>
          <w:rFonts w:ascii="Sylfaen" w:eastAsia="Calibri" w:hAnsi="Sylfaen"/>
          <w:sz w:val="22"/>
          <w:szCs w:val="22"/>
          <w:lang w:val="ka-GE"/>
        </w:rPr>
        <w:t>პროცენტით</w:t>
      </w:r>
      <w:r w:rsidRPr="00E6009D" w:rsidDel="00605EC6">
        <w:rPr>
          <w:rFonts w:ascii="Sylfaen" w:eastAsia="Calibri" w:hAnsi="Sylfaen"/>
          <w:sz w:val="22"/>
          <w:szCs w:val="22"/>
          <w:lang w:val="ka-GE"/>
        </w:rPr>
        <w:t xml:space="preserve"> გაზრდა, ხოლო იმპორტის </w:t>
      </w:r>
      <w:r w:rsidR="00185086">
        <w:rPr>
          <w:rFonts w:ascii="Sylfaen" w:eastAsia="Calibri" w:hAnsi="Sylfaen"/>
          <w:sz w:val="22"/>
          <w:szCs w:val="22"/>
          <w:lang w:val="ka-GE"/>
        </w:rPr>
        <w:t xml:space="preserve">2.4 </w:t>
      </w:r>
      <w:r w:rsidRPr="00E6009D" w:rsidDel="00605EC6">
        <w:rPr>
          <w:rFonts w:ascii="Sylfaen" w:eastAsia="Calibri" w:hAnsi="Sylfaen"/>
          <w:sz w:val="22"/>
          <w:szCs w:val="22"/>
          <w:lang w:val="ka-GE"/>
        </w:rPr>
        <w:t>პროცენტით</w:t>
      </w:r>
      <w:r w:rsidR="00185086">
        <w:rPr>
          <w:rFonts w:ascii="Sylfaen" w:eastAsia="Calibri" w:hAnsi="Sylfaen"/>
          <w:sz w:val="22"/>
          <w:szCs w:val="22"/>
          <w:lang w:val="ka-GE"/>
        </w:rPr>
        <w:t xml:space="preserve"> გაზრდა</w:t>
      </w:r>
      <w:r w:rsidRPr="00E6009D" w:rsidDel="00605EC6">
        <w:rPr>
          <w:rFonts w:ascii="Sylfaen" w:eastAsia="Calibri" w:hAnsi="Sylfaen"/>
          <w:sz w:val="22"/>
          <w:szCs w:val="22"/>
          <w:lang w:val="ka-GE"/>
        </w:rPr>
        <w:t xml:space="preserve">. </w:t>
      </w:r>
    </w:p>
    <w:p w:rsidR="000417B4" w:rsidRPr="00012156" w:rsidRDefault="000417B4" w:rsidP="000417B4">
      <w:pPr>
        <w:ind w:firstLine="540"/>
        <w:jc w:val="both"/>
        <w:rPr>
          <w:rFonts w:ascii="Sylfaen" w:eastAsia="Calibri" w:hAnsi="Sylfaen" w:cs="Times New Roman"/>
          <w:color w:val="000000" w:themeColor="text1"/>
          <w:lang w:val="ka-GE"/>
        </w:rPr>
      </w:pPr>
      <w:r w:rsidRPr="00C668D2">
        <w:rPr>
          <w:rFonts w:ascii="Sylfaen" w:eastAsia="Calibri" w:hAnsi="Sylfaen" w:cs="Times New Roman"/>
          <w:color w:val="000000" w:themeColor="text1"/>
          <w:lang w:val="ka-GE"/>
        </w:rPr>
        <w:t xml:space="preserve">გამომდინარე იქედან, რომ რუსეთი და უკრაინა სოფლის მეურნეობის საქონლის ძირითადი ექსპორტიორები არიან, მოსალოდნელი იყო, რომ კვლავ გაზრდილიყო სურსათზე გლობალური ფასები. უკრაინაში მიმდინარე ომის გამწვავების შემთხვევაში კი საკვებსა და საწვავზე </w:t>
      </w:r>
      <w:r w:rsidRPr="00012156">
        <w:rPr>
          <w:rFonts w:ascii="Sylfaen" w:eastAsia="Calibri" w:hAnsi="Sylfaen" w:cs="Times New Roman"/>
          <w:color w:val="000000" w:themeColor="text1"/>
          <w:lang w:val="ka-GE"/>
        </w:rPr>
        <w:t>ფასების ზრდა გამოიწვევდა მიწოდების შეფერხებას. ამის მიუხედავად, 2023 წელს დაფიქსირებული შემცირებული ექსპორტისა და იმპორტის შემდეგ, 2024 წელს მდგომარეობ</w:t>
      </w:r>
      <w:r w:rsidR="00012156" w:rsidRPr="00012156">
        <w:rPr>
          <w:rFonts w:ascii="Sylfaen" w:eastAsia="Calibri" w:hAnsi="Sylfaen" w:cs="Times New Roman"/>
          <w:color w:val="000000" w:themeColor="text1"/>
          <w:lang w:val="ka-GE"/>
        </w:rPr>
        <w:t>ის გაუმჯობესება იყო მოსალოდნელი</w:t>
      </w:r>
      <w:r w:rsidRPr="00012156">
        <w:rPr>
          <w:rFonts w:ascii="Sylfaen" w:eastAsia="Calibri" w:hAnsi="Sylfaen" w:cs="Times New Roman"/>
          <w:color w:val="000000" w:themeColor="text1"/>
          <w:lang w:val="ka-GE"/>
        </w:rPr>
        <w:t xml:space="preserve">. </w:t>
      </w:r>
    </w:p>
    <w:p w:rsidR="005802BA" w:rsidRDefault="00012156" w:rsidP="00E46D4F">
      <w:pPr>
        <w:pStyle w:val="NormalWeb"/>
        <w:spacing w:line="276" w:lineRule="auto"/>
        <w:ind w:firstLine="540"/>
        <w:jc w:val="both"/>
        <w:rPr>
          <w:rFonts w:ascii="Sylfaen" w:eastAsia="Calibri" w:hAnsi="Sylfaen"/>
          <w:sz w:val="22"/>
          <w:szCs w:val="22"/>
          <w:lang w:val="ka-GE"/>
        </w:rPr>
      </w:pPr>
      <w:r w:rsidRPr="00012156">
        <w:rPr>
          <w:rFonts w:ascii="Sylfaen" w:eastAsia="Calibri" w:hAnsi="Sylfaen"/>
          <w:color w:val="000000" w:themeColor="text1"/>
          <w:sz w:val="22"/>
          <w:szCs w:val="22"/>
          <w:lang w:val="ka-GE"/>
        </w:rPr>
        <w:lastRenderedPageBreak/>
        <w:t xml:space="preserve">გაეროს </w:t>
      </w:r>
      <w:r w:rsidRPr="00012156" w:rsidDel="00605EC6">
        <w:rPr>
          <w:rFonts w:ascii="Sylfaen" w:eastAsia="Calibri" w:hAnsi="Sylfaen"/>
          <w:color w:val="000000" w:themeColor="text1"/>
          <w:sz w:val="22"/>
          <w:szCs w:val="22"/>
          <w:lang w:val="ka-GE"/>
        </w:rPr>
        <w:t>არსებული მონაცემებით</w:t>
      </w:r>
      <w:r w:rsidR="005802BA" w:rsidRPr="00012156" w:rsidDel="00605EC6">
        <w:rPr>
          <w:rFonts w:ascii="Sylfaen" w:eastAsia="Calibri" w:hAnsi="Sylfaen"/>
          <w:color w:val="000000" w:themeColor="text1"/>
          <w:sz w:val="22"/>
          <w:szCs w:val="22"/>
          <w:lang w:val="ka-GE"/>
        </w:rPr>
        <w:t xml:space="preserve">, </w:t>
      </w:r>
      <w:r w:rsidRPr="00012156" w:rsidDel="00605EC6">
        <w:rPr>
          <w:rFonts w:ascii="Sylfaen" w:eastAsia="Calibri" w:hAnsi="Sylfaen"/>
          <w:color w:val="000000" w:themeColor="text1"/>
          <w:sz w:val="22"/>
          <w:szCs w:val="22"/>
          <w:lang w:val="ka-GE"/>
        </w:rPr>
        <w:t>202</w:t>
      </w:r>
      <w:r w:rsidRPr="00012156">
        <w:rPr>
          <w:rFonts w:ascii="Sylfaen" w:eastAsia="Calibri" w:hAnsi="Sylfaen"/>
          <w:color w:val="000000" w:themeColor="text1"/>
          <w:sz w:val="22"/>
          <w:szCs w:val="22"/>
          <w:lang w:val="ka-GE"/>
        </w:rPr>
        <w:t>4</w:t>
      </w:r>
      <w:r w:rsidRPr="00012156" w:rsidDel="00605EC6">
        <w:rPr>
          <w:rFonts w:ascii="Sylfaen" w:eastAsia="Calibri" w:hAnsi="Sylfaen"/>
          <w:color w:val="000000" w:themeColor="text1"/>
          <w:sz w:val="22"/>
          <w:szCs w:val="22"/>
          <w:lang w:val="ka-GE"/>
        </w:rPr>
        <w:t xml:space="preserve"> წლის </w:t>
      </w:r>
      <w:r w:rsidRPr="00012156">
        <w:rPr>
          <w:rFonts w:ascii="Sylfaen" w:eastAsia="Calibri" w:hAnsi="Sylfaen"/>
          <w:color w:val="000000" w:themeColor="text1"/>
          <w:sz w:val="22"/>
          <w:szCs w:val="22"/>
          <w:lang w:val="ka-GE"/>
        </w:rPr>
        <w:t>განმავლობაში,</w:t>
      </w:r>
      <w:r w:rsidRPr="00012156">
        <w:rPr>
          <w:rFonts w:ascii="Sylfaen" w:eastAsia="Calibri" w:hAnsi="Sylfaen"/>
          <w:color w:val="000000" w:themeColor="text1"/>
          <w:sz w:val="22"/>
          <w:szCs w:val="22"/>
        </w:rPr>
        <w:t xml:space="preserve"> </w:t>
      </w:r>
      <w:r w:rsidRPr="00012156">
        <w:rPr>
          <w:rFonts w:ascii="Sylfaen" w:eastAsia="Calibri" w:hAnsi="Sylfaen"/>
          <w:color w:val="000000" w:themeColor="text1"/>
          <w:sz w:val="22"/>
          <w:szCs w:val="22"/>
          <w:lang w:val="ka-GE"/>
        </w:rPr>
        <w:t>მსოფლიოს მასშტაბით,</w:t>
      </w:r>
      <w:r w:rsidRPr="00012156" w:rsidDel="00605EC6">
        <w:rPr>
          <w:rFonts w:ascii="Sylfaen" w:eastAsia="Calibri" w:hAnsi="Sylfaen"/>
          <w:color w:val="000000" w:themeColor="text1"/>
          <w:sz w:val="22"/>
          <w:szCs w:val="22"/>
          <w:lang w:val="ka-GE"/>
        </w:rPr>
        <w:t xml:space="preserve"> </w:t>
      </w:r>
      <w:r w:rsidR="00E46D4F">
        <w:rPr>
          <w:rFonts w:ascii="Sylfaen" w:eastAsia="Calibri" w:hAnsi="Sylfaen"/>
          <w:color w:val="000000" w:themeColor="text1"/>
          <w:sz w:val="22"/>
          <w:szCs w:val="22"/>
          <w:lang w:val="ka-GE"/>
        </w:rPr>
        <w:t>ვაჭრობის მოცულობა გაზრდილია 3.7</w:t>
      </w:r>
      <w:r w:rsidRPr="00012156" w:rsidDel="00605EC6">
        <w:rPr>
          <w:rFonts w:ascii="Sylfaen" w:eastAsia="Calibri" w:hAnsi="Sylfaen"/>
          <w:color w:val="000000" w:themeColor="text1"/>
          <w:sz w:val="22"/>
          <w:szCs w:val="22"/>
          <w:lang w:val="ka-GE"/>
        </w:rPr>
        <w:t xml:space="preserve"> პროცენტით.</w:t>
      </w:r>
      <w:r w:rsidR="005802BA" w:rsidRPr="00012156" w:rsidDel="00605EC6">
        <w:rPr>
          <w:rFonts w:ascii="Sylfaen" w:eastAsia="Calibri" w:hAnsi="Sylfaen"/>
          <w:color w:val="000000" w:themeColor="text1"/>
          <w:sz w:val="22"/>
          <w:szCs w:val="22"/>
          <w:lang w:val="ka-GE"/>
        </w:rPr>
        <w:t xml:space="preserve"> ამასთან, აღსანიშნავია</w:t>
      </w:r>
      <w:r w:rsidRPr="00012156">
        <w:rPr>
          <w:rFonts w:ascii="Sylfaen" w:eastAsia="Calibri" w:hAnsi="Sylfaen"/>
          <w:color w:val="000000" w:themeColor="text1"/>
          <w:sz w:val="22"/>
          <w:szCs w:val="22"/>
          <w:lang w:val="ka-GE"/>
        </w:rPr>
        <w:t>,</w:t>
      </w:r>
      <w:r w:rsidR="005802BA" w:rsidRPr="00012156" w:rsidDel="00605EC6">
        <w:rPr>
          <w:rFonts w:ascii="Sylfaen" w:eastAsia="Calibri" w:hAnsi="Sylfaen"/>
          <w:color w:val="000000" w:themeColor="text1"/>
          <w:sz w:val="22"/>
          <w:szCs w:val="22"/>
          <w:lang w:val="ka-GE"/>
        </w:rPr>
        <w:t xml:space="preserve"> რომ </w:t>
      </w:r>
      <w:r w:rsidRPr="00012156">
        <w:rPr>
          <w:rFonts w:ascii="Sylfaen" w:eastAsia="Calibri" w:hAnsi="Sylfaen"/>
          <w:color w:val="000000" w:themeColor="text1"/>
          <w:sz w:val="22"/>
          <w:szCs w:val="22"/>
          <w:lang w:val="ka-GE"/>
        </w:rPr>
        <w:t xml:space="preserve">მსოფლიო ვაჭრობის </w:t>
      </w:r>
      <w:r w:rsidR="00E46D4F">
        <w:rPr>
          <w:rFonts w:ascii="Sylfaen" w:eastAsia="Calibri" w:hAnsi="Sylfaen"/>
          <w:color w:val="000000" w:themeColor="text1"/>
          <w:sz w:val="22"/>
          <w:szCs w:val="22"/>
          <w:lang w:val="ka-GE"/>
        </w:rPr>
        <w:t xml:space="preserve">ზრდის პარალელურად </w:t>
      </w:r>
      <w:r w:rsidRPr="00012156">
        <w:rPr>
          <w:rFonts w:ascii="Sylfaen" w:eastAsia="Calibri" w:hAnsi="Sylfaen"/>
          <w:color w:val="000000" w:themeColor="text1"/>
          <w:sz w:val="22"/>
          <w:szCs w:val="22"/>
          <w:lang w:val="ka-GE"/>
        </w:rPr>
        <w:t xml:space="preserve"> </w:t>
      </w:r>
      <w:r w:rsidR="005802BA" w:rsidRPr="00012156" w:rsidDel="00605EC6">
        <w:rPr>
          <w:rFonts w:ascii="Sylfaen" w:eastAsia="Calibri" w:hAnsi="Sylfaen"/>
          <w:color w:val="000000" w:themeColor="text1"/>
          <w:sz w:val="22"/>
          <w:szCs w:val="22"/>
          <w:lang w:val="ka-GE"/>
        </w:rPr>
        <w:t>202</w:t>
      </w:r>
      <w:r w:rsidR="004A7081" w:rsidRPr="00012156">
        <w:rPr>
          <w:rFonts w:ascii="Sylfaen" w:eastAsia="Calibri" w:hAnsi="Sylfaen"/>
          <w:color w:val="000000" w:themeColor="text1"/>
          <w:sz w:val="22"/>
          <w:szCs w:val="22"/>
        </w:rPr>
        <w:t>4</w:t>
      </w:r>
      <w:r w:rsidR="005802BA" w:rsidRPr="00012156" w:rsidDel="00605EC6">
        <w:rPr>
          <w:rFonts w:ascii="Sylfaen" w:eastAsia="Calibri" w:hAnsi="Sylfaen"/>
          <w:color w:val="000000" w:themeColor="text1"/>
          <w:sz w:val="22"/>
          <w:szCs w:val="22"/>
          <w:lang w:val="ka-GE"/>
        </w:rPr>
        <w:t xml:space="preserve"> წელს </w:t>
      </w:r>
      <w:r w:rsidR="00E46D4F">
        <w:rPr>
          <w:rFonts w:ascii="Sylfaen" w:eastAsia="Calibri" w:hAnsi="Sylfaen"/>
          <w:color w:val="000000" w:themeColor="text1"/>
          <w:sz w:val="22"/>
          <w:szCs w:val="22"/>
          <w:lang w:val="ka-GE"/>
        </w:rPr>
        <w:t xml:space="preserve">უფრო მეტად </w:t>
      </w:r>
      <w:r w:rsidR="00E46D4F">
        <w:rPr>
          <w:rFonts w:ascii="Sylfaen" w:eastAsia="Calibri" w:hAnsi="Sylfaen"/>
          <w:sz w:val="22"/>
          <w:szCs w:val="22"/>
        </w:rPr>
        <w:t>8.4</w:t>
      </w:r>
      <w:r w:rsidR="00E46D4F" w:rsidRPr="00E6009D" w:rsidDel="00605EC6">
        <w:rPr>
          <w:rFonts w:ascii="Sylfaen" w:eastAsia="Calibri" w:hAnsi="Sylfaen"/>
          <w:sz w:val="22"/>
          <w:szCs w:val="22"/>
          <w:lang w:val="ka-GE"/>
        </w:rPr>
        <w:t xml:space="preserve"> პროცენტით არის </w:t>
      </w:r>
      <w:r w:rsidR="00E46D4F">
        <w:rPr>
          <w:rFonts w:ascii="Sylfaen" w:eastAsia="Calibri" w:hAnsi="Sylfaen"/>
          <w:sz w:val="22"/>
          <w:szCs w:val="22"/>
          <w:lang w:val="ka-GE"/>
        </w:rPr>
        <w:t xml:space="preserve"> </w:t>
      </w:r>
      <w:r w:rsidR="005802BA" w:rsidRPr="00012156" w:rsidDel="00605EC6">
        <w:rPr>
          <w:rFonts w:ascii="Sylfaen" w:eastAsia="Calibri" w:hAnsi="Sylfaen"/>
          <w:color w:val="000000" w:themeColor="text1"/>
          <w:sz w:val="22"/>
          <w:szCs w:val="22"/>
          <w:lang w:val="ka-GE"/>
        </w:rPr>
        <w:t xml:space="preserve">გაზრდილი საქართველოს </w:t>
      </w:r>
      <w:r w:rsidR="005802BA" w:rsidRPr="00012156" w:rsidDel="00605EC6">
        <w:rPr>
          <w:rFonts w:ascii="Sylfaen" w:eastAsia="Calibri" w:hAnsi="Sylfaen"/>
          <w:sz w:val="22"/>
          <w:szCs w:val="22"/>
          <w:lang w:val="ka-GE"/>
        </w:rPr>
        <w:t>სავაჭრო ბრუნვა: 202</w:t>
      </w:r>
      <w:r w:rsidR="00185086" w:rsidRPr="00012156">
        <w:rPr>
          <w:rFonts w:ascii="Sylfaen" w:eastAsia="Calibri" w:hAnsi="Sylfaen"/>
          <w:sz w:val="22"/>
          <w:szCs w:val="22"/>
        </w:rPr>
        <w:t>4</w:t>
      </w:r>
      <w:r w:rsidR="005802BA" w:rsidRPr="00012156" w:rsidDel="00605EC6">
        <w:rPr>
          <w:rFonts w:ascii="Sylfaen" w:eastAsia="Calibri" w:hAnsi="Sylfaen"/>
          <w:sz w:val="22"/>
          <w:szCs w:val="22"/>
          <w:lang w:val="ka-GE"/>
        </w:rPr>
        <w:t xml:space="preserve"> წელს საქონლის ექსპორტის ზრდა დაფიქსირდა </w:t>
      </w:r>
      <w:r w:rsidR="00185086" w:rsidRPr="00012156">
        <w:rPr>
          <w:rFonts w:ascii="Sylfaen" w:eastAsia="Calibri" w:hAnsi="Sylfaen"/>
          <w:sz w:val="22"/>
          <w:szCs w:val="22"/>
        </w:rPr>
        <w:t>7.8</w:t>
      </w:r>
      <w:r w:rsidR="005802BA" w:rsidRPr="00012156" w:rsidDel="00605EC6">
        <w:rPr>
          <w:rFonts w:ascii="Sylfaen" w:eastAsia="Calibri" w:hAnsi="Sylfaen"/>
          <w:sz w:val="22"/>
          <w:szCs w:val="22"/>
          <w:lang w:val="ka-GE"/>
        </w:rPr>
        <w:t xml:space="preserve">  პროც</w:t>
      </w:r>
      <w:r w:rsidR="005802BA" w:rsidRPr="00E6009D" w:rsidDel="00605EC6">
        <w:rPr>
          <w:rFonts w:ascii="Sylfaen" w:eastAsia="Calibri" w:hAnsi="Sylfaen"/>
          <w:sz w:val="22"/>
          <w:szCs w:val="22"/>
          <w:lang w:val="ka-GE"/>
        </w:rPr>
        <w:t xml:space="preserve">ენტზე, საქონლის იმპორტი გაზრდილია </w:t>
      </w:r>
      <w:r w:rsidR="00185086">
        <w:rPr>
          <w:rFonts w:ascii="Sylfaen" w:eastAsia="Calibri" w:hAnsi="Sylfaen"/>
          <w:sz w:val="22"/>
          <w:szCs w:val="22"/>
        </w:rPr>
        <w:t>8.6</w:t>
      </w:r>
      <w:r w:rsidR="00E46D4F">
        <w:rPr>
          <w:rFonts w:ascii="Sylfaen" w:eastAsia="Calibri" w:hAnsi="Sylfaen"/>
          <w:sz w:val="22"/>
          <w:szCs w:val="22"/>
          <w:lang w:val="ka-GE"/>
        </w:rPr>
        <w:t xml:space="preserve"> პროცენტით.</w:t>
      </w:r>
      <w:r w:rsidR="005802BA" w:rsidRPr="00E6009D" w:rsidDel="00605EC6">
        <w:rPr>
          <w:rFonts w:ascii="Sylfaen" w:eastAsia="Calibri" w:hAnsi="Sylfaen"/>
          <w:sz w:val="22"/>
          <w:szCs w:val="22"/>
          <w:lang w:val="ka-GE"/>
        </w:rPr>
        <w:t> </w:t>
      </w:r>
    </w:p>
    <w:p w:rsidR="00A24EAF" w:rsidRPr="00E6009D" w:rsidDel="00605EC6" w:rsidRDefault="00A24EAF" w:rsidP="005802BA">
      <w:pPr>
        <w:pStyle w:val="NormalWeb"/>
        <w:spacing w:line="276" w:lineRule="auto"/>
        <w:ind w:firstLine="360"/>
        <w:jc w:val="both"/>
        <w:rPr>
          <w:rFonts w:ascii="Sylfaen" w:eastAsia="Calibri" w:hAnsi="Sylfaen"/>
          <w:sz w:val="22"/>
          <w:szCs w:val="22"/>
          <w:lang w:val="ka-GE"/>
        </w:rPr>
      </w:pP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რეგიონული რისკები</w:t>
      </w:r>
    </w:p>
    <w:p w:rsidR="005802BA" w:rsidRPr="00012156" w:rsidRDefault="005802BA" w:rsidP="00A70D30">
      <w:pPr>
        <w:spacing w:before="240"/>
        <w:ind w:firstLine="540"/>
        <w:jc w:val="both"/>
        <w:rPr>
          <w:rFonts w:ascii="Sylfaen" w:eastAsia="Calibri" w:hAnsi="Sylfaen" w:cs="Times New Roman"/>
          <w:color w:val="000000" w:themeColor="text1"/>
          <w:lang w:val="ka-GE"/>
        </w:rPr>
      </w:pPr>
      <w:r w:rsidRPr="00E6009D">
        <w:rPr>
          <w:rFonts w:ascii="Sylfaen" w:eastAsia="Calibri" w:hAnsi="Sylfaen" w:cs="Times New Roman"/>
          <w:lang w:val="ka-GE"/>
        </w:rPr>
        <w:t xml:space="preserve">აღსანიშნავია, რომ </w:t>
      </w:r>
      <w:r w:rsidRPr="009B3A4C">
        <w:rPr>
          <w:rFonts w:ascii="Sylfaen" w:eastAsia="Calibri" w:hAnsi="Sylfaen" w:cs="Times New Roman"/>
          <w:lang w:val="ka-GE"/>
        </w:rPr>
        <w:t>202</w:t>
      </w:r>
      <w:r w:rsidR="00071E87">
        <w:rPr>
          <w:rFonts w:ascii="Sylfaen" w:eastAsia="Calibri" w:hAnsi="Sylfaen" w:cs="Times New Roman"/>
        </w:rPr>
        <w:t>4</w:t>
      </w:r>
      <w:r w:rsidRPr="009B3A4C">
        <w:rPr>
          <w:rFonts w:ascii="Sylfaen" w:eastAsia="Calibri" w:hAnsi="Sylfaen" w:cs="Times New Roman"/>
          <w:lang w:val="ka-GE"/>
        </w:rPr>
        <w:t xml:space="preserve"> წლის სახელმწიფო ბიუჯეტზე</w:t>
      </w:r>
      <w:r>
        <w:rPr>
          <w:rFonts w:ascii="Sylfaen" w:eastAsia="Calibri" w:hAnsi="Sylfaen" w:cs="Times New Roman"/>
          <w:lang w:val="ka-GE"/>
        </w:rPr>
        <w:t xml:space="preserve"> (202</w:t>
      </w:r>
      <w:r w:rsidR="00071E87">
        <w:rPr>
          <w:rFonts w:ascii="Sylfaen" w:eastAsia="Calibri" w:hAnsi="Sylfaen" w:cs="Times New Roman"/>
        </w:rPr>
        <w:t>3</w:t>
      </w:r>
      <w:r w:rsidRPr="009B3A4C">
        <w:rPr>
          <w:rFonts w:ascii="Sylfaen" w:eastAsia="Calibri" w:hAnsi="Sylfaen" w:cs="Times New Roman"/>
          <w:lang w:val="ka-GE"/>
        </w:rPr>
        <w:t xml:space="preserve"> წლის დეკემბერი) თანდართული სცენარების ანალიზის  დოკუმენტში იდენტიფიცირებული</w:t>
      </w:r>
      <w:r w:rsidRPr="00E6009D">
        <w:rPr>
          <w:rFonts w:ascii="Sylfaen" w:eastAsia="Calibri" w:hAnsi="Sylfaen" w:cs="Times New Roman"/>
          <w:lang w:val="ka-GE"/>
        </w:rPr>
        <w:t xml:space="preserve"> რეგიონული რისკები ეხებოდა </w:t>
      </w:r>
      <w:r w:rsidRPr="00461294">
        <w:rPr>
          <w:rFonts w:ascii="Sylfaen" w:eastAsia="Calibri" w:hAnsi="Sylfaen" w:cs="Times New Roman"/>
          <w:lang w:val="ka-GE"/>
        </w:rPr>
        <w:t xml:space="preserve">როგორც ეკონომიკური, ასევე - პოლიტიკური ხასიათის რისკებს და გამომწვევ მიზეზებად სახელდებოდა როგორც ნავთობსა და ნედლეულზე ქვეყნების დამოკიდებულება, ასევე რუსეთის უკრაინაში შეჭრის შედეგად რეგიონში არსებული  პოლიტიკური პრობლემები და არამდგრადობა. </w:t>
      </w:r>
      <w:r w:rsidR="00C668D2">
        <w:rPr>
          <w:rFonts w:ascii="Sylfaen" w:eastAsia="Calibri" w:hAnsi="Sylfaen" w:cs="Times New Roman"/>
          <w:lang w:val="ka-GE"/>
        </w:rPr>
        <w:t xml:space="preserve">აქვე აღნიშნული იყო, რომ </w:t>
      </w:r>
      <w:r w:rsidR="00C668D2" w:rsidRPr="00C668D2">
        <w:rPr>
          <w:rFonts w:ascii="Sylfaen" w:eastAsia="Calibri" w:hAnsi="Sylfaen" w:cs="Times New Roman"/>
          <w:lang w:val="ka-GE"/>
        </w:rPr>
        <w:t xml:space="preserve">რუსეთის მიმართ დაწესებული სხვადასხვა ტიპის სანქციები რუსეთთან ეკონომიკურად დაკავშირებულ ქვეყნებზეც </w:t>
      </w:r>
      <w:r w:rsidR="00C668D2">
        <w:rPr>
          <w:rFonts w:ascii="Sylfaen" w:eastAsia="Calibri" w:hAnsi="Sylfaen" w:cs="Times New Roman"/>
          <w:lang w:val="ka-GE"/>
        </w:rPr>
        <w:t>მოახდენდა</w:t>
      </w:r>
      <w:r w:rsidR="00C668D2" w:rsidRPr="00C668D2">
        <w:rPr>
          <w:rFonts w:ascii="Sylfaen" w:eastAsia="Calibri" w:hAnsi="Sylfaen" w:cs="Times New Roman"/>
          <w:lang w:val="ka-GE"/>
        </w:rPr>
        <w:t xml:space="preserve"> გავლენას. </w:t>
      </w:r>
      <w:r w:rsidRPr="00461294">
        <w:rPr>
          <w:rFonts w:ascii="Sylfaen" w:eastAsia="Calibri" w:hAnsi="Sylfaen" w:cs="Times New Roman"/>
          <w:lang w:val="ka-GE"/>
        </w:rPr>
        <w:t>202</w:t>
      </w:r>
      <w:r w:rsidR="00C668D2">
        <w:rPr>
          <w:rFonts w:ascii="Sylfaen" w:eastAsia="Calibri" w:hAnsi="Sylfaen" w:cs="Times New Roman"/>
          <w:lang w:val="ka-GE"/>
        </w:rPr>
        <w:t>4</w:t>
      </w:r>
      <w:r w:rsidRPr="00461294">
        <w:rPr>
          <w:rFonts w:ascii="Sylfaen" w:eastAsia="Calibri" w:hAnsi="Sylfaen" w:cs="Times New Roman"/>
          <w:lang w:val="ka-GE"/>
        </w:rPr>
        <w:t xml:space="preserve"> წელს </w:t>
      </w:r>
      <w:r w:rsidR="00C668D2">
        <w:rPr>
          <w:rFonts w:ascii="Sylfaen" w:eastAsia="Calibri" w:hAnsi="Sylfaen" w:cs="Times New Roman"/>
          <w:lang w:val="ka-GE"/>
        </w:rPr>
        <w:t xml:space="preserve">კვლავ </w:t>
      </w:r>
      <w:r w:rsidRPr="00461294">
        <w:rPr>
          <w:rFonts w:ascii="Sylfaen" w:eastAsia="Calibri" w:hAnsi="Sylfaen" w:cs="Times New Roman"/>
          <w:lang w:val="ka-GE"/>
        </w:rPr>
        <w:t>შენარჩუნებულია გასულ წელს დაწყებული რეგიონული რისკები, რაც</w:t>
      </w:r>
      <w:r w:rsidRPr="00E6009D">
        <w:rPr>
          <w:rFonts w:ascii="Sylfaen" w:eastAsia="Calibri" w:hAnsi="Sylfaen" w:cs="Times New Roman"/>
          <w:lang w:val="ka-GE"/>
        </w:rPr>
        <w:t xml:space="preserve"> გულისხმობდა რუსეთის მიერ უკრაინაში შეჭრ</w:t>
      </w:r>
      <w:r w:rsidR="00C668D2">
        <w:rPr>
          <w:rFonts w:ascii="Sylfaen" w:eastAsia="Calibri" w:hAnsi="Sylfaen" w:cs="Times New Roman"/>
          <w:lang w:val="ka-GE"/>
        </w:rPr>
        <w:t>ი</w:t>
      </w:r>
      <w:r w:rsidRPr="00E6009D">
        <w:rPr>
          <w:rFonts w:ascii="Sylfaen" w:eastAsia="Calibri" w:hAnsi="Sylfaen" w:cs="Times New Roman"/>
          <w:lang w:val="ka-GE"/>
        </w:rPr>
        <w:t>ს</w:t>
      </w:r>
      <w:r w:rsidR="00C668D2">
        <w:rPr>
          <w:rFonts w:ascii="Sylfaen" w:eastAsia="Calibri" w:hAnsi="Sylfaen" w:cs="Times New Roman"/>
          <w:lang w:val="ka-GE"/>
        </w:rPr>
        <w:t xml:space="preserve"> შედეგად არსებულ გავლენებს </w:t>
      </w:r>
      <w:r w:rsidRPr="00E6009D">
        <w:rPr>
          <w:rFonts w:ascii="Sylfaen" w:eastAsia="Calibri" w:hAnsi="Sylfaen" w:cs="Times New Roman"/>
          <w:lang w:val="ka-GE"/>
        </w:rPr>
        <w:t>მსოფლიოს ეკონომიკური განვითარების პერსპექტივებზე. როგორც 202</w:t>
      </w:r>
      <w:r w:rsidR="00C668D2">
        <w:rPr>
          <w:rFonts w:ascii="Sylfaen" w:eastAsia="Calibri" w:hAnsi="Sylfaen" w:cs="Times New Roman"/>
          <w:lang w:val="ka-GE"/>
        </w:rPr>
        <w:t>4</w:t>
      </w:r>
      <w:r w:rsidRPr="00E6009D">
        <w:rPr>
          <w:rFonts w:ascii="Sylfaen" w:eastAsia="Calibri" w:hAnsi="Sylfaen" w:cs="Times New Roman"/>
          <w:lang w:val="ka-GE"/>
        </w:rPr>
        <w:t xml:space="preserve"> წლის ბიუჯეტის კანონის თანდართულ სცენარების დოკუმენტში იყო აღნიშნული, რეგიონში არსებული ომისა და კვლავ მაღალი </w:t>
      </w:r>
      <w:r w:rsidRPr="00A70D30">
        <w:rPr>
          <w:rFonts w:ascii="Sylfaen" w:eastAsia="Calibri" w:hAnsi="Sylfaen" w:cs="Times New Roman"/>
          <w:color w:val="000000" w:themeColor="text1"/>
          <w:lang w:val="ka-GE"/>
        </w:rPr>
        <w:t xml:space="preserve">გაურკვევლობის გამო, </w:t>
      </w:r>
      <w:r w:rsidR="00C668D2" w:rsidRPr="00A70D30">
        <w:rPr>
          <w:rFonts w:ascii="Sylfaen" w:eastAsia="Calibri" w:hAnsi="Sylfaen" w:cs="Times New Roman"/>
          <w:color w:val="000000" w:themeColor="text1"/>
          <w:lang w:val="ka-GE"/>
        </w:rPr>
        <w:t xml:space="preserve">ასევე </w:t>
      </w:r>
      <w:r w:rsidR="00C668D2" w:rsidRPr="00A70D30">
        <w:rPr>
          <w:rFonts w:ascii="Sylfaen" w:hAnsi="Sylfaen" w:cs="Segoe UI"/>
          <w:color w:val="000000" w:themeColor="text1"/>
          <w:lang w:val="ka-GE"/>
        </w:rPr>
        <w:t>ბოლო პერიოდში სომხეთსა და აზერბაიჯანს შორის გამწვავებული მდგომარეობის გამო კიდევ უფრო მძიმდებოდა რეგიონული რისკების შესაძლო ეფექტები, ვინაიდან აღნიშნული</w:t>
      </w:r>
      <w:r w:rsidR="00A70D30" w:rsidRPr="00A70D30">
        <w:rPr>
          <w:rFonts w:ascii="Sylfaen" w:hAnsi="Sylfaen" w:cs="Segoe UI"/>
          <w:color w:val="000000" w:themeColor="text1"/>
          <w:lang w:val="ka-GE"/>
        </w:rPr>
        <w:t xml:space="preserve"> </w:t>
      </w:r>
      <w:r w:rsidR="00C668D2" w:rsidRPr="00A70D30">
        <w:rPr>
          <w:rFonts w:ascii="Sylfaen" w:hAnsi="Sylfaen" w:cs="Segoe UI"/>
          <w:color w:val="000000" w:themeColor="text1"/>
          <w:lang w:val="ka-GE"/>
        </w:rPr>
        <w:t>იწვევს</w:t>
      </w:r>
      <w:r w:rsidR="00A70D30" w:rsidRPr="00A70D30">
        <w:rPr>
          <w:rFonts w:ascii="Sylfaen" w:hAnsi="Sylfaen" w:cs="Segoe UI"/>
          <w:color w:val="000000" w:themeColor="text1"/>
          <w:lang w:val="ka-GE"/>
        </w:rPr>
        <w:t xml:space="preserve"> </w:t>
      </w:r>
      <w:r w:rsidR="00C668D2" w:rsidRPr="00A70D30">
        <w:rPr>
          <w:rFonts w:ascii="Sylfaen" w:eastAsia="Calibri" w:hAnsi="Sylfaen" w:cs="Times New Roman"/>
          <w:color w:val="000000" w:themeColor="text1"/>
          <w:lang w:val="ka-GE"/>
        </w:rPr>
        <w:t xml:space="preserve">ინვესტიციების განხორციელებასთან დაკავშირებით და </w:t>
      </w:r>
      <w:r w:rsidRPr="00A70D30">
        <w:rPr>
          <w:rFonts w:ascii="Sylfaen" w:eastAsia="Calibri" w:hAnsi="Sylfaen" w:cs="Times New Roman"/>
          <w:color w:val="000000" w:themeColor="text1"/>
          <w:lang w:val="ka-GE"/>
        </w:rPr>
        <w:t>განწყობის გაუარესება რეგიონის ქვეყნების</w:t>
      </w:r>
      <w:r w:rsidR="00C668D2" w:rsidRPr="00A70D30">
        <w:rPr>
          <w:rFonts w:ascii="Sylfaen" w:eastAsia="Calibri" w:hAnsi="Sylfaen" w:cs="Times New Roman"/>
          <w:color w:val="000000" w:themeColor="text1"/>
          <w:lang w:val="ka-GE"/>
        </w:rPr>
        <w:t xml:space="preserve">, მათ </w:t>
      </w:r>
      <w:r w:rsidRPr="00A70D30">
        <w:rPr>
          <w:rFonts w:ascii="Sylfaen" w:eastAsia="Calibri" w:hAnsi="Sylfaen" w:cs="Times New Roman"/>
          <w:color w:val="000000" w:themeColor="text1"/>
          <w:lang w:val="ka-GE"/>
        </w:rPr>
        <w:t>შორის, საქართველოს მიმართ. 202</w:t>
      </w:r>
      <w:r w:rsidR="00A70D30">
        <w:rPr>
          <w:rFonts w:ascii="Sylfaen" w:eastAsia="Calibri" w:hAnsi="Sylfaen" w:cs="Times New Roman"/>
          <w:color w:val="000000" w:themeColor="text1"/>
          <w:lang w:val="ka-GE"/>
        </w:rPr>
        <w:t>4</w:t>
      </w:r>
      <w:r w:rsidRPr="00A70D30">
        <w:rPr>
          <w:rFonts w:ascii="Sylfaen" w:eastAsia="Calibri" w:hAnsi="Sylfaen" w:cs="Times New Roman"/>
          <w:color w:val="000000" w:themeColor="text1"/>
          <w:lang w:val="ka-GE"/>
        </w:rPr>
        <w:t xml:space="preserve"> </w:t>
      </w:r>
      <w:r w:rsidRPr="00012156">
        <w:rPr>
          <w:rFonts w:ascii="Sylfaen" w:eastAsia="Calibri" w:hAnsi="Sylfaen" w:cs="Times New Roman"/>
          <w:color w:val="000000" w:themeColor="text1"/>
          <w:lang w:val="ka-GE"/>
        </w:rPr>
        <w:t xml:space="preserve">წელს პირდაპირი უცხოური ინვესტიციები შემცირდა </w:t>
      </w:r>
      <w:r w:rsidR="00012156" w:rsidRPr="00012156">
        <w:rPr>
          <w:rFonts w:ascii="Sylfaen" w:eastAsia="Calibri" w:hAnsi="Sylfaen" w:cs="Times New Roman"/>
          <w:color w:val="000000" w:themeColor="text1"/>
          <w:lang w:val="ka-GE"/>
        </w:rPr>
        <w:t>30</w:t>
      </w:r>
      <w:r w:rsidRPr="00012156">
        <w:rPr>
          <w:rFonts w:ascii="Sylfaen" w:eastAsia="Calibri" w:hAnsi="Sylfaen" w:cs="Times New Roman"/>
          <w:color w:val="000000" w:themeColor="text1"/>
          <w:lang w:val="ka-GE"/>
        </w:rPr>
        <w:t xml:space="preserve"> პროცენტით, </w:t>
      </w:r>
      <w:r w:rsidR="00012156" w:rsidRPr="00012156">
        <w:rPr>
          <w:rFonts w:ascii="Sylfaen" w:eastAsia="Calibri" w:hAnsi="Sylfaen" w:cs="Times New Roman"/>
          <w:color w:val="000000" w:themeColor="text1"/>
          <w:lang w:val="ka-GE"/>
        </w:rPr>
        <w:t xml:space="preserve">2023 წელს 16 პროცენტიანი შემცირების შემდეგ. </w:t>
      </w:r>
      <w:r w:rsidRPr="00012156">
        <w:rPr>
          <w:rFonts w:ascii="Sylfaen" w:eastAsia="Calibri" w:hAnsi="Sylfaen" w:cs="Times New Roman"/>
          <w:color w:val="000000" w:themeColor="text1"/>
          <w:lang w:val="ka-GE"/>
        </w:rPr>
        <w:t>სიტუაცია შენარჩუნებულია რუსეთის მიმართ დაწესებული სანქციების მხრივ</w:t>
      </w:r>
      <w:r w:rsidR="00A70D30" w:rsidRPr="00012156">
        <w:rPr>
          <w:rFonts w:ascii="Sylfaen" w:eastAsia="Calibri" w:hAnsi="Sylfaen" w:cs="Times New Roman"/>
          <w:color w:val="000000" w:themeColor="text1"/>
          <w:lang w:val="ka-GE"/>
        </w:rPr>
        <w:t xml:space="preserve"> და კვლავ მაღალია გაურკვევლობა აღნიშნული რისკების მოგვარების მიმართ</w:t>
      </w:r>
      <w:r w:rsidRPr="00012156">
        <w:rPr>
          <w:rFonts w:ascii="Sylfaen" w:eastAsia="Calibri" w:hAnsi="Sylfaen" w:cs="Times New Roman"/>
          <w:color w:val="000000" w:themeColor="text1"/>
          <w:lang w:val="ka-GE"/>
        </w:rPr>
        <w:t xml:space="preserve">. </w:t>
      </w:r>
      <w:r w:rsidR="00012156" w:rsidRPr="00012156">
        <w:rPr>
          <w:rFonts w:ascii="Sylfaen" w:eastAsia="Calibri" w:hAnsi="Sylfaen" w:cs="Times New Roman"/>
          <w:color w:val="000000" w:themeColor="text1"/>
          <w:lang w:val="ka-GE"/>
        </w:rPr>
        <w:t xml:space="preserve">ამასთან, საქათველოს ეკონომიკური ზრდა დაგეგმილთან შედარებით მაღალ ნიშნულზე დაფიქსირდა და 9.4 პროცენტი შეადგინა, ხოლო ინფლაცია მიზნობრივ მაჩვენებელზე დაბალი იყო. </w:t>
      </w:r>
      <w:r w:rsidRPr="00012156">
        <w:rPr>
          <w:rFonts w:ascii="Sylfaen" w:eastAsia="Calibri" w:hAnsi="Sylfaen" w:cs="Times New Roman"/>
          <w:color w:val="000000" w:themeColor="text1"/>
          <w:lang w:val="ka-GE"/>
        </w:rPr>
        <w:t xml:space="preserve">შესაბამისად, </w:t>
      </w:r>
      <w:r w:rsidR="00012156" w:rsidRPr="00012156">
        <w:rPr>
          <w:rFonts w:ascii="Sylfaen" w:eastAsia="Calibri" w:hAnsi="Sylfaen" w:cs="Times New Roman"/>
          <w:color w:val="000000" w:themeColor="text1"/>
          <w:lang w:val="ka-GE"/>
        </w:rPr>
        <w:t xml:space="preserve">შეიძლება ითქვას, რომ </w:t>
      </w:r>
      <w:r w:rsidRPr="00012156">
        <w:rPr>
          <w:rFonts w:ascii="Sylfaen" w:eastAsia="Calibri" w:hAnsi="Sylfaen" w:cs="Times New Roman"/>
          <w:color w:val="000000" w:themeColor="text1"/>
          <w:lang w:val="ka-GE"/>
        </w:rPr>
        <w:t>რეგიონული რისკები 202</w:t>
      </w:r>
      <w:r w:rsidR="00A70D30" w:rsidRPr="00012156">
        <w:rPr>
          <w:rFonts w:ascii="Sylfaen" w:eastAsia="Calibri" w:hAnsi="Sylfaen" w:cs="Times New Roman"/>
          <w:color w:val="000000" w:themeColor="text1"/>
          <w:lang w:val="ka-GE"/>
        </w:rPr>
        <w:t>4</w:t>
      </w:r>
      <w:r w:rsidRPr="00012156">
        <w:rPr>
          <w:rFonts w:ascii="Sylfaen" w:eastAsia="Calibri" w:hAnsi="Sylfaen" w:cs="Times New Roman"/>
          <w:color w:val="000000" w:themeColor="text1"/>
          <w:lang w:val="ka-GE"/>
        </w:rPr>
        <w:t xml:space="preserve"> წელს ნაწილობრივ რეალიზდა. </w:t>
      </w:r>
    </w:p>
    <w:p w:rsidR="005802BA" w:rsidRPr="00012156" w:rsidRDefault="005802BA" w:rsidP="000258A2">
      <w:pPr>
        <w:spacing w:before="240" w:after="160" w:line="360" w:lineRule="auto"/>
        <w:jc w:val="both"/>
        <w:rPr>
          <w:rFonts w:ascii="Sylfaen" w:eastAsia="Calibri" w:hAnsi="Sylfaen" w:cs="Times New Roman"/>
          <w:b/>
          <w:color w:val="000000" w:themeColor="text1"/>
          <w:lang w:val="ka-GE"/>
        </w:rPr>
      </w:pPr>
      <w:r w:rsidRPr="00012156">
        <w:rPr>
          <w:rFonts w:ascii="Sylfaen" w:eastAsia="Calibri" w:hAnsi="Sylfaen" w:cs="Times New Roman"/>
          <w:b/>
          <w:color w:val="000000" w:themeColor="text1"/>
          <w:lang w:val="ka-GE"/>
        </w:rPr>
        <w:t xml:space="preserve">გამკაცრებული მონეტარული პოლიტიკის შენარჩუნება  </w:t>
      </w:r>
    </w:p>
    <w:p w:rsidR="005802BA" w:rsidRDefault="005802BA" w:rsidP="005802BA">
      <w:pPr>
        <w:spacing w:after="0"/>
        <w:ind w:firstLine="360"/>
        <w:jc w:val="both"/>
        <w:rPr>
          <w:rFonts w:ascii="Sylfaen" w:eastAsia="Calibri" w:hAnsi="Sylfaen" w:cs="Times New Roman"/>
          <w:lang w:val="ka-GE"/>
        </w:rPr>
      </w:pPr>
      <w:r w:rsidRPr="00E6009D">
        <w:rPr>
          <w:rFonts w:ascii="Sylfaen" w:eastAsia="Calibri" w:hAnsi="Sylfaen" w:cs="Times New Roman"/>
          <w:lang w:val="ka-GE"/>
        </w:rPr>
        <w:t xml:space="preserve">აღსანიშნავია, რომ გამკაცრებული მონეტარული პოლიტიკის შენარჩუნების რისკი გამოწვეული იყო რუსეთ-უკრაინის ომისა და რუსეთის ფედერაციის წინააღმდეგ დაწესებული სანქციების შედეგად გაზრდილი ნავთობისა და სურსათის ფასებით, რასაც თან დაერთო მიწოდების ჯაჭვის შეფერხება, ვინაიდან რუსეთი და უკრაინა სასოფლო-სამეურნეო საქონლის ძირითად მიმწოდებლებს წარმოადგენენ და არსებულმა კონფლიქტმა შეაფერხა </w:t>
      </w:r>
      <w:r w:rsidRPr="00E6009D">
        <w:rPr>
          <w:rFonts w:ascii="Sylfaen" w:eastAsia="Calibri" w:hAnsi="Sylfaen" w:cs="Times New Roman"/>
          <w:lang w:val="ka-GE"/>
        </w:rPr>
        <w:lastRenderedPageBreak/>
        <w:t>როგორც ნედლი ნავთობის, ასევე  ბუნებრივი აირისა და საკვების მიწოდება და საბოლოოდ გაიზარდა მსოფლიო ინფლაცია. როგორც 202</w:t>
      </w:r>
      <w:r w:rsidR="00E62B58">
        <w:rPr>
          <w:rFonts w:ascii="Sylfaen" w:eastAsia="Calibri" w:hAnsi="Sylfaen" w:cs="Times New Roman"/>
          <w:lang w:val="ka-GE"/>
        </w:rPr>
        <w:t>4</w:t>
      </w:r>
      <w:r w:rsidRPr="00E6009D">
        <w:rPr>
          <w:rFonts w:ascii="Sylfaen" w:eastAsia="Calibri" w:hAnsi="Sylfaen" w:cs="Times New Roman"/>
          <w:lang w:val="ka-GE"/>
        </w:rPr>
        <w:t xml:space="preserve"> წლის ბიუჯეტის კანონის თანდართულ</w:t>
      </w:r>
      <w:r w:rsidR="00E62B58">
        <w:rPr>
          <w:rFonts w:ascii="Sylfaen" w:eastAsia="Calibri" w:hAnsi="Sylfaen" w:cs="Times New Roman"/>
          <w:lang w:val="ka-GE"/>
        </w:rPr>
        <w:t>ი</w:t>
      </w:r>
      <w:r w:rsidRPr="00E6009D">
        <w:rPr>
          <w:rFonts w:ascii="Sylfaen" w:eastAsia="Calibri" w:hAnsi="Sylfaen" w:cs="Times New Roman"/>
          <w:lang w:val="ka-GE"/>
        </w:rPr>
        <w:t xml:space="preserve"> სცენარების დოკუმენტში იყო აღნიშნული, ბოლო პერიოდში ინფლაციის დასტაბილურებისა და შემცირების მიუხედავად, </w:t>
      </w:r>
      <w:r w:rsidR="00012156">
        <w:rPr>
          <w:rFonts w:ascii="Sylfaen" w:eastAsia="Calibri" w:hAnsi="Sylfaen" w:cs="Times New Roman"/>
          <w:lang w:val="ka-GE"/>
        </w:rPr>
        <w:t>უკრაი</w:t>
      </w:r>
      <w:r w:rsidRPr="00E6009D">
        <w:rPr>
          <w:rFonts w:ascii="Sylfaen" w:eastAsia="Calibri" w:hAnsi="Sylfaen" w:cs="Times New Roman"/>
          <w:lang w:val="ka-GE"/>
        </w:rPr>
        <w:t>ნ</w:t>
      </w:r>
      <w:r w:rsidR="00012156">
        <w:rPr>
          <w:rFonts w:ascii="Sylfaen" w:eastAsia="Calibri" w:hAnsi="Sylfaen" w:cs="Times New Roman"/>
          <w:lang w:val="ka-GE"/>
        </w:rPr>
        <w:t>ა</w:t>
      </w:r>
      <w:r w:rsidRPr="00E6009D">
        <w:rPr>
          <w:rFonts w:ascii="Sylfaen" w:eastAsia="Calibri" w:hAnsi="Sylfaen" w:cs="Times New Roman"/>
          <w:lang w:val="ka-GE"/>
        </w:rPr>
        <w:t xml:space="preserve">ში მიმდინარე კონფლიქტის ფონზე მოსალოდნელი იყო, რომ ინფლაციურ ზეწოლას კვლავ ეჩინა თავი საშუალოვადიან პერიოდში. </w:t>
      </w:r>
    </w:p>
    <w:p w:rsidR="00C338DA" w:rsidRPr="003879E8" w:rsidRDefault="005802BA" w:rsidP="00C338DA">
      <w:pPr>
        <w:spacing w:before="240" w:after="160"/>
        <w:ind w:firstLine="360"/>
        <w:jc w:val="both"/>
        <w:rPr>
          <w:rFonts w:ascii="Sylfaen" w:eastAsia="Calibri" w:hAnsi="Sylfaen" w:cs="Times New Roman"/>
          <w:color w:val="000000" w:themeColor="text1"/>
          <w:lang w:val="ka-GE"/>
        </w:rPr>
      </w:pPr>
      <w:r w:rsidRPr="00E6009D">
        <w:rPr>
          <w:rFonts w:ascii="Sylfaen" w:eastAsia="Calibri" w:hAnsi="Sylfaen" w:cs="Times New Roman"/>
          <w:color w:val="000000"/>
          <w:lang w:val="ka-GE"/>
        </w:rPr>
        <w:t xml:space="preserve">გამკაცრებული მონეტარული პოლიტიკის შენარჩუნების რისკი </w:t>
      </w:r>
      <w:r w:rsidR="00E62B58">
        <w:rPr>
          <w:rFonts w:ascii="Sylfaen" w:eastAsia="Calibri" w:hAnsi="Sylfaen" w:cs="Times New Roman"/>
          <w:color w:val="000000"/>
          <w:lang w:val="ka-GE"/>
        </w:rPr>
        <w:t>არ</w:t>
      </w:r>
      <w:r w:rsidRPr="00E6009D">
        <w:rPr>
          <w:rFonts w:ascii="Sylfaen" w:eastAsia="Calibri" w:hAnsi="Sylfaen" w:cs="Times New Roman"/>
          <w:color w:val="000000"/>
          <w:lang w:val="ka-GE"/>
        </w:rPr>
        <w:t xml:space="preserve"> მატერიალიზდა 202</w:t>
      </w:r>
      <w:r w:rsidR="00E62B58">
        <w:rPr>
          <w:rFonts w:ascii="Sylfaen" w:eastAsia="Calibri" w:hAnsi="Sylfaen" w:cs="Times New Roman"/>
          <w:color w:val="000000"/>
          <w:lang w:val="ka-GE"/>
        </w:rPr>
        <w:t>4</w:t>
      </w:r>
      <w:r w:rsidRPr="00E6009D">
        <w:rPr>
          <w:rFonts w:ascii="Sylfaen" w:eastAsia="Calibri" w:hAnsi="Sylfaen" w:cs="Times New Roman"/>
          <w:color w:val="000000"/>
          <w:lang w:val="ka-GE"/>
        </w:rPr>
        <w:t xml:space="preserve"> წელს. აღნიშნული გამომდინარეობს იქიდან, რომ ქვეყნებმა ინფლაციის</w:t>
      </w:r>
      <w:r w:rsidR="00E62B58">
        <w:rPr>
          <w:rFonts w:ascii="Sylfaen" w:eastAsia="Calibri" w:hAnsi="Sylfaen" w:cs="Times New Roman"/>
          <w:color w:val="000000"/>
          <w:lang w:val="ka-GE"/>
        </w:rPr>
        <w:t xml:space="preserve"> მეტნაკლებად დასტაბილურების შემდეგ დაიწყეს </w:t>
      </w:r>
      <w:r w:rsidRPr="00E6009D">
        <w:rPr>
          <w:rFonts w:ascii="Sylfaen" w:eastAsia="Calibri" w:hAnsi="Sylfaen" w:cs="Times New Roman"/>
          <w:color w:val="000000"/>
          <w:lang w:val="ka-GE"/>
        </w:rPr>
        <w:t>გამკაცრებული მონეტარული პოლიტიკი</w:t>
      </w:r>
      <w:r w:rsidR="00E62B58">
        <w:rPr>
          <w:rFonts w:ascii="Sylfaen" w:eastAsia="Calibri" w:hAnsi="Sylfaen" w:cs="Times New Roman"/>
          <w:color w:val="000000"/>
          <w:lang w:val="ka-GE"/>
        </w:rPr>
        <w:t xml:space="preserve">დან ნელ-ნელა გამოსვლა, რაც ეკონომიკური აქტივობის </w:t>
      </w:r>
      <w:r w:rsidR="00E62B58" w:rsidRPr="003879E8">
        <w:rPr>
          <w:rFonts w:ascii="Sylfaen" w:eastAsia="Calibri" w:hAnsi="Sylfaen" w:cs="Times New Roman"/>
          <w:color w:val="000000" w:themeColor="text1"/>
          <w:lang w:val="ka-GE"/>
        </w:rPr>
        <w:t>გაუმჯობესებაშიც აისახა</w:t>
      </w:r>
      <w:r w:rsidRPr="003879E8">
        <w:rPr>
          <w:rFonts w:ascii="Sylfaen" w:eastAsia="Calibri" w:hAnsi="Sylfaen" w:cs="Times New Roman"/>
          <w:color w:val="000000" w:themeColor="text1"/>
          <w:lang w:val="ka-GE"/>
        </w:rPr>
        <w:t xml:space="preserve">. მათ შორის, </w:t>
      </w:r>
      <w:r w:rsidR="00C338DA" w:rsidRPr="003879E8">
        <w:rPr>
          <w:rFonts w:ascii="Sylfaen" w:eastAsia="Calibri" w:hAnsi="Sylfaen" w:cs="Times New Roman"/>
          <w:color w:val="000000" w:themeColor="text1"/>
          <w:lang w:val="ka-GE"/>
        </w:rPr>
        <w:t xml:space="preserve">ინგლისის ბანკის მიხედვით, </w:t>
      </w:r>
      <w:r w:rsidR="00C338DA" w:rsidRPr="003879E8">
        <w:rPr>
          <w:rFonts w:ascii="Sylfaen" w:eastAsia="Calibri" w:hAnsi="Sylfaen" w:cs="Times New Roman"/>
          <w:color w:val="000000" w:themeColor="text1"/>
        </w:rPr>
        <w:t xml:space="preserve">2024 </w:t>
      </w:r>
      <w:r w:rsidR="00C338DA" w:rsidRPr="003879E8">
        <w:rPr>
          <w:rFonts w:ascii="Sylfaen" w:eastAsia="Calibri" w:hAnsi="Sylfaen" w:cs="Times New Roman"/>
          <w:color w:val="000000" w:themeColor="text1"/>
          <w:lang w:val="ka-GE"/>
        </w:rPr>
        <w:t>ნოემბრში საპროცენტო განაკვეთი 4.75 პროცენტზე იყო, რაც 2023 წლის ბოლო მაჩვენებელზე დაბალია. 2023 წლის დეკემბერში ინგლისის ბანკის მონეტარული პოლიტიკის განაკვეთი 5.25 პროცენტი იყო, მომდევნო წლის აგვისტოში 5.0 პროცენტამდე შემცირდა</w:t>
      </w:r>
      <w:r w:rsidR="00080D31" w:rsidRPr="003879E8">
        <w:rPr>
          <w:rFonts w:ascii="Sylfaen" w:eastAsia="Calibri" w:hAnsi="Sylfaen" w:cs="Times New Roman"/>
          <w:color w:val="000000" w:themeColor="text1"/>
        </w:rPr>
        <w:t xml:space="preserve">, </w:t>
      </w:r>
      <w:r w:rsidR="00080D31" w:rsidRPr="003879E8">
        <w:rPr>
          <w:rFonts w:ascii="Sylfaen" w:eastAsia="Calibri" w:hAnsi="Sylfaen" w:cs="Times New Roman"/>
          <w:color w:val="000000" w:themeColor="text1"/>
          <w:lang w:val="ka-GE"/>
        </w:rPr>
        <w:t xml:space="preserve">ნოემბერში განაკვეთი კვლავ შემცირდა და </w:t>
      </w:r>
      <w:r w:rsidR="00F720DC">
        <w:rPr>
          <w:rFonts w:ascii="Sylfaen" w:eastAsia="Calibri" w:hAnsi="Sylfaen" w:cs="Times New Roman"/>
          <w:color w:val="000000" w:themeColor="text1"/>
        </w:rPr>
        <w:t>4</w:t>
      </w:r>
      <w:bookmarkStart w:id="0" w:name="_GoBack"/>
      <w:bookmarkEnd w:id="0"/>
      <w:r w:rsidR="00080D31" w:rsidRPr="003879E8">
        <w:rPr>
          <w:rFonts w:ascii="Sylfaen" w:eastAsia="Calibri" w:hAnsi="Sylfaen" w:cs="Times New Roman"/>
          <w:color w:val="000000" w:themeColor="text1"/>
          <w:lang w:val="ka-GE"/>
        </w:rPr>
        <w:t>.75 პროცენტი შეადგინა</w:t>
      </w:r>
      <w:r w:rsidR="00C338DA" w:rsidRPr="003879E8">
        <w:rPr>
          <w:rFonts w:ascii="Sylfaen" w:eastAsia="Calibri" w:hAnsi="Sylfaen" w:cs="Times New Roman"/>
          <w:color w:val="000000" w:themeColor="text1"/>
          <w:lang w:val="ka-GE"/>
        </w:rPr>
        <w:t xml:space="preserve">. შესაბამისად, </w:t>
      </w:r>
      <w:r w:rsidR="00080D31" w:rsidRPr="003879E8">
        <w:rPr>
          <w:rFonts w:ascii="Sylfaen" w:eastAsia="Calibri" w:hAnsi="Sylfaen" w:cs="Times New Roman"/>
          <w:color w:val="000000" w:themeColor="text1"/>
          <w:lang w:val="ka-GE"/>
        </w:rPr>
        <w:t>2024 წელს დაფიქსირდა</w:t>
      </w:r>
      <w:r w:rsidR="00C338DA" w:rsidRPr="003879E8">
        <w:rPr>
          <w:rFonts w:ascii="Sylfaen" w:eastAsia="Calibri" w:hAnsi="Sylfaen" w:cs="Times New Roman"/>
          <w:color w:val="000000" w:themeColor="text1"/>
          <w:lang w:val="ka-GE"/>
        </w:rPr>
        <w:t xml:space="preserve"> ინგლისის ბანკი</w:t>
      </w:r>
      <w:r w:rsidR="00080D31" w:rsidRPr="003879E8">
        <w:rPr>
          <w:rFonts w:ascii="Sylfaen" w:eastAsia="Calibri" w:hAnsi="Sylfaen" w:cs="Times New Roman"/>
          <w:color w:val="000000" w:themeColor="text1"/>
          <w:lang w:val="ka-GE"/>
        </w:rPr>
        <w:t>ს მიერ</w:t>
      </w:r>
      <w:r w:rsidR="00C338DA" w:rsidRPr="003879E8">
        <w:rPr>
          <w:rFonts w:ascii="Sylfaen" w:eastAsia="Calibri" w:hAnsi="Sylfaen" w:cs="Times New Roman"/>
          <w:color w:val="000000" w:themeColor="text1"/>
          <w:lang w:val="ka-GE"/>
        </w:rPr>
        <w:t xml:space="preserve"> მონეტარულ</w:t>
      </w:r>
      <w:r w:rsidR="00080D31" w:rsidRPr="003879E8">
        <w:rPr>
          <w:rFonts w:ascii="Sylfaen" w:eastAsia="Calibri" w:hAnsi="Sylfaen" w:cs="Times New Roman"/>
          <w:color w:val="000000" w:themeColor="text1"/>
          <w:lang w:val="ka-GE"/>
        </w:rPr>
        <w:t>ი</w:t>
      </w:r>
      <w:r w:rsidR="00C338DA" w:rsidRPr="003879E8">
        <w:rPr>
          <w:rFonts w:ascii="Sylfaen" w:eastAsia="Calibri" w:hAnsi="Sylfaen" w:cs="Times New Roman"/>
          <w:color w:val="000000" w:themeColor="text1"/>
          <w:lang w:val="ka-GE"/>
        </w:rPr>
        <w:t xml:space="preserve"> </w:t>
      </w:r>
      <w:r w:rsidR="00080D31" w:rsidRPr="003879E8">
        <w:rPr>
          <w:rFonts w:ascii="Sylfaen" w:eastAsia="Calibri" w:hAnsi="Sylfaen" w:cs="Times New Roman"/>
          <w:color w:val="000000" w:themeColor="text1"/>
          <w:lang w:val="ka-GE"/>
        </w:rPr>
        <w:t>პოლიტიკი</w:t>
      </w:r>
      <w:r w:rsidR="00C338DA" w:rsidRPr="003879E8">
        <w:rPr>
          <w:rFonts w:ascii="Sylfaen" w:eastAsia="Calibri" w:hAnsi="Sylfaen" w:cs="Times New Roman"/>
          <w:color w:val="000000" w:themeColor="text1"/>
          <w:lang w:val="ka-GE"/>
        </w:rPr>
        <w:t xml:space="preserve">ს </w:t>
      </w:r>
      <w:r w:rsidR="00080D31" w:rsidRPr="003879E8">
        <w:rPr>
          <w:rFonts w:ascii="Sylfaen" w:eastAsia="Calibri" w:hAnsi="Sylfaen" w:cs="Times New Roman"/>
          <w:color w:val="000000" w:themeColor="text1"/>
          <w:lang w:val="ka-GE"/>
        </w:rPr>
        <w:t>შერბილება</w:t>
      </w:r>
      <w:r w:rsidR="00C338DA" w:rsidRPr="003879E8">
        <w:rPr>
          <w:rFonts w:ascii="Sylfaen" w:eastAsia="Calibri" w:hAnsi="Sylfaen" w:cs="Times New Roman"/>
          <w:color w:val="000000" w:themeColor="text1"/>
          <w:lang w:val="ka-GE"/>
        </w:rPr>
        <w:t xml:space="preserve">. </w:t>
      </w:r>
    </w:p>
    <w:p w:rsidR="00080D31" w:rsidRPr="003879E8" w:rsidRDefault="00C338DA" w:rsidP="00C338DA">
      <w:pPr>
        <w:spacing w:before="240" w:after="160"/>
        <w:ind w:firstLine="360"/>
        <w:jc w:val="both"/>
        <w:rPr>
          <w:rFonts w:ascii="Sylfaen" w:eastAsia="Calibri" w:hAnsi="Sylfaen" w:cs="Times New Roman"/>
          <w:color w:val="000000" w:themeColor="text1"/>
          <w:lang w:val="ka-GE"/>
        </w:rPr>
      </w:pPr>
      <w:r w:rsidRPr="003879E8">
        <w:rPr>
          <w:rFonts w:ascii="Sylfaen" w:eastAsia="Calibri" w:hAnsi="Sylfaen" w:cs="Times New Roman"/>
          <w:color w:val="000000" w:themeColor="text1"/>
          <w:lang w:val="ka-GE"/>
        </w:rPr>
        <w:t xml:space="preserve">ევროპის ცენტრალური ბანკის საპროცენტო განაკვეთი </w:t>
      </w:r>
      <w:r w:rsidR="00080D31" w:rsidRPr="003879E8">
        <w:rPr>
          <w:rFonts w:ascii="Sylfaen" w:eastAsia="Calibri" w:hAnsi="Sylfaen" w:cs="Times New Roman"/>
          <w:color w:val="000000" w:themeColor="text1"/>
        </w:rPr>
        <w:t xml:space="preserve">2023 </w:t>
      </w:r>
      <w:r w:rsidR="00080D31" w:rsidRPr="003879E8">
        <w:rPr>
          <w:rFonts w:ascii="Sylfaen" w:eastAsia="Calibri" w:hAnsi="Sylfaen" w:cs="Times New Roman"/>
          <w:color w:val="000000" w:themeColor="text1"/>
          <w:lang w:val="ka-GE"/>
        </w:rPr>
        <w:t xml:space="preserve">წლის ბოლოს </w:t>
      </w:r>
      <w:r w:rsidRPr="003879E8">
        <w:rPr>
          <w:rFonts w:ascii="Sylfaen" w:eastAsia="Calibri" w:hAnsi="Sylfaen" w:cs="Times New Roman"/>
          <w:color w:val="000000" w:themeColor="text1"/>
        </w:rPr>
        <w:t>4.</w:t>
      </w:r>
      <w:r w:rsidRPr="003879E8">
        <w:rPr>
          <w:rFonts w:ascii="Sylfaen" w:eastAsia="Calibri" w:hAnsi="Sylfaen" w:cs="Times New Roman"/>
          <w:color w:val="000000" w:themeColor="text1"/>
          <w:lang w:val="ka-GE"/>
        </w:rPr>
        <w:t>5 პროცენტ</w:t>
      </w:r>
      <w:r w:rsidR="00080D31" w:rsidRPr="003879E8">
        <w:rPr>
          <w:rFonts w:ascii="Sylfaen" w:eastAsia="Calibri" w:hAnsi="Sylfaen" w:cs="Times New Roman"/>
          <w:color w:val="000000" w:themeColor="text1"/>
          <w:lang w:val="ka-GE"/>
        </w:rPr>
        <w:t>ს შეადგენდა</w:t>
      </w:r>
      <w:r w:rsidRPr="003879E8">
        <w:rPr>
          <w:rFonts w:ascii="Sylfaen" w:eastAsia="Calibri" w:hAnsi="Sylfaen" w:cs="Times New Roman"/>
          <w:color w:val="000000" w:themeColor="text1"/>
          <w:lang w:val="ka-GE"/>
        </w:rPr>
        <w:t xml:space="preserve">. </w:t>
      </w:r>
      <w:r w:rsidR="00080D31" w:rsidRPr="003879E8">
        <w:rPr>
          <w:rFonts w:ascii="Sylfaen" w:eastAsia="Calibri" w:hAnsi="Sylfaen" w:cs="Times New Roman"/>
          <w:color w:val="000000" w:themeColor="text1"/>
          <w:lang w:val="ka-GE"/>
        </w:rPr>
        <w:t xml:space="preserve">ხოლო 2024 წელს ბანკმა დაიწყო გამკაცრებული მონეტარული პოლიტიკიდან გამოსვლა და 2024 წლის ბოლოს საპროცენტო განაკვეთმა 3.15 პროცენტი შეადგინა. </w:t>
      </w:r>
    </w:p>
    <w:p w:rsidR="00C338DA" w:rsidRPr="003879E8" w:rsidRDefault="00C338DA" w:rsidP="00C338DA">
      <w:pPr>
        <w:spacing w:before="240" w:after="160"/>
        <w:ind w:firstLine="360"/>
        <w:jc w:val="both"/>
        <w:rPr>
          <w:rFonts w:ascii="Sylfaen" w:eastAsia="Calibri" w:hAnsi="Sylfaen" w:cs="Times New Roman"/>
          <w:color w:val="000000" w:themeColor="text1"/>
          <w:lang w:val="ka-GE"/>
        </w:rPr>
      </w:pPr>
      <w:r w:rsidRPr="003879E8">
        <w:rPr>
          <w:rFonts w:ascii="Sylfaen" w:eastAsia="Calibri" w:hAnsi="Sylfaen" w:cs="Times New Roman"/>
          <w:color w:val="000000" w:themeColor="text1"/>
          <w:lang w:val="ka-GE"/>
        </w:rPr>
        <w:t>რაც შეეხება აშშ-ს, ცენტრალურმა ბანკმა</w:t>
      </w:r>
      <w:r w:rsidRPr="003879E8">
        <w:rPr>
          <w:rFonts w:ascii="Sylfaen" w:eastAsia="Calibri" w:hAnsi="Sylfaen" w:cs="Times New Roman"/>
          <w:color w:val="000000" w:themeColor="text1"/>
        </w:rPr>
        <w:t xml:space="preserve"> (</w:t>
      </w:r>
      <w:r w:rsidRPr="003879E8">
        <w:rPr>
          <w:rFonts w:ascii="Sylfaen" w:eastAsia="Calibri" w:hAnsi="Sylfaen" w:cs="Times New Roman"/>
          <w:color w:val="000000" w:themeColor="text1"/>
          <w:lang w:val="ka-GE"/>
        </w:rPr>
        <w:t xml:space="preserve">ფედერალური </w:t>
      </w:r>
      <w:r w:rsidR="00080D31" w:rsidRPr="003879E8">
        <w:rPr>
          <w:rFonts w:ascii="Sylfaen" w:eastAsia="Calibri" w:hAnsi="Sylfaen" w:cs="Times New Roman"/>
          <w:color w:val="000000" w:themeColor="text1"/>
          <w:lang w:val="ka-GE"/>
        </w:rPr>
        <w:t>სა</w:t>
      </w:r>
      <w:r w:rsidRPr="003879E8">
        <w:rPr>
          <w:rFonts w:ascii="Sylfaen" w:eastAsia="Calibri" w:hAnsi="Sylfaen" w:cs="Times New Roman"/>
          <w:color w:val="000000" w:themeColor="text1"/>
          <w:lang w:val="ka-GE"/>
        </w:rPr>
        <w:t>რეზერვ</w:t>
      </w:r>
      <w:r w:rsidR="00080D31" w:rsidRPr="003879E8">
        <w:rPr>
          <w:rFonts w:ascii="Sylfaen" w:eastAsia="Calibri" w:hAnsi="Sylfaen" w:cs="Times New Roman"/>
          <w:color w:val="000000" w:themeColor="text1"/>
          <w:lang w:val="ka-GE"/>
        </w:rPr>
        <w:t>ო ბანკი</w:t>
      </w:r>
      <w:r w:rsidRPr="003879E8">
        <w:rPr>
          <w:rFonts w:ascii="Sylfaen" w:eastAsia="Calibri" w:hAnsi="Sylfaen" w:cs="Times New Roman"/>
          <w:color w:val="000000" w:themeColor="text1"/>
        </w:rPr>
        <w:t>)</w:t>
      </w:r>
      <w:r w:rsidRPr="003879E8">
        <w:rPr>
          <w:rFonts w:ascii="Sylfaen" w:eastAsia="Calibri" w:hAnsi="Sylfaen" w:cs="Times New Roman"/>
          <w:color w:val="000000" w:themeColor="text1"/>
          <w:lang w:val="ka-GE"/>
        </w:rPr>
        <w:t xml:space="preserve"> საპროცენტო განაკვეთი</w:t>
      </w:r>
      <w:r w:rsidRPr="003879E8">
        <w:rPr>
          <w:rFonts w:ascii="Sylfaen" w:eastAsia="Calibri" w:hAnsi="Sylfaen" w:cs="Times New Roman"/>
          <w:color w:val="000000" w:themeColor="text1"/>
        </w:rPr>
        <w:t xml:space="preserve"> </w:t>
      </w:r>
      <w:r w:rsidRPr="003879E8">
        <w:rPr>
          <w:rFonts w:ascii="Sylfaen" w:eastAsia="Calibri" w:hAnsi="Sylfaen" w:cs="Times New Roman"/>
          <w:color w:val="000000" w:themeColor="text1"/>
          <w:lang w:val="ka-GE"/>
        </w:rPr>
        <w:t xml:space="preserve">შეამცირა და 4.25-4.5 პროცენტის ფარგლებშია. აღსანიშნავია, რომ 2023  წლის დეკემბრის ბოლოს დაფიქსირებული 5.5 პროცენტიდან </w:t>
      </w:r>
      <w:r w:rsidR="00080D31" w:rsidRPr="003879E8">
        <w:rPr>
          <w:rFonts w:ascii="Sylfaen" w:eastAsia="Calibri" w:hAnsi="Sylfaen" w:cs="Times New Roman"/>
          <w:color w:val="000000" w:themeColor="text1"/>
        </w:rPr>
        <w:t xml:space="preserve">(5.25-5.50) </w:t>
      </w:r>
      <w:r w:rsidR="003879E8" w:rsidRPr="003879E8">
        <w:rPr>
          <w:rFonts w:ascii="Sylfaen" w:eastAsia="Calibri" w:hAnsi="Sylfaen" w:cs="Times New Roman"/>
          <w:color w:val="000000" w:themeColor="text1"/>
        </w:rPr>
        <w:t xml:space="preserve">2024 </w:t>
      </w:r>
      <w:r w:rsidR="003879E8" w:rsidRPr="003879E8">
        <w:rPr>
          <w:rFonts w:ascii="Sylfaen" w:eastAsia="Calibri" w:hAnsi="Sylfaen" w:cs="Times New Roman"/>
          <w:color w:val="000000" w:themeColor="text1"/>
          <w:lang w:val="ka-GE"/>
        </w:rPr>
        <w:t xml:space="preserve">წლის სექტემბერში პოლიტიკის განაკვეთი შემცირდა 4.75-5.0 პროცენტამდე, ხოლო ნოემბერში კვლავ შემცირდა 0.25 პროცენტული პუნქტით, 4.25-4.75 პროცენტამდე. </w:t>
      </w:r>
      <w:r w:rsidRPr="003879E8">
        <w:rPr>
          <w:rFonts w:ascii="Sylfaen" w:eastAsia="Calibri" w:hAnsi="Sylfaen" w:cs="Times New Roman"/>
          <w:color w:val="000000" w:themeColor="text1"/>
          <w:lang w:val="ka-GE"/>
        </w:rPr>
        <w:t xml:space="preserve">2024 წლის </w:t>
      </w:r>
      <w:r w:rsidR="003879E8" w:rsidRPr="003879E8">
        <w:rPr>
          <w:rFonts w:ascii="Sylfaen" w:eastAsia="Calibri" w:hAnsi="Sylfaen" w:cs="Times New Roman"/>
          <w:color w:val="000000" w:themeColor="text1"/>
          <w:lang w:val="ka-GE"/>
        </w:rPr>
        <w:t xml:space="preserve">დეკემბერს განხორციელებული ცვლილების შედეგად ფედ-ის პროცენტი 2024 წლის </w:t>
      </w:r>
      <w:r w:rsidRPr="003879E8">
        <w:rPr>
          <w:rFonts w:ascii="Sylfaen" w:eastAsia="Calibri" w:hAnsi="Sylfaen" w:cs="Times New Roman"/>
          <w:color w:val="000000" w:themeColor="text1"/>
          <w:lang w:val="ka-GE"/>
        </w:rPr>
        <w:t xml:space="preserve">ბოლოსთვის </w:t>
      </w:r>
      <w:r w:rsidR="003879E8" w:rsidRPr="003879E8">
        <w:rPr>
          <w:rFonts w:ascii="Sylfaen" w:eastAsia="Calibri" w:hAnsi="Sylfaen" w:cs="Times New Roman"/>
          <w:color w:val="000000" w:themeColor="text1"/>
          <w:lang w:val="ka-GE"/>
        </w:rPr>
        <w:t xml:space="preserve"> 4.25-4.5 პროცენტს შეადგენს. შესაბამისად, </w:t>
      </w:r>
      <w:r w:rsidRPr="003879E8">
        <w:rPr>
          <w:rFonts w:ascii="Sylfaen" w:eastAsia="Calibri" w:hAnsi="Sylfaen" w:cs="Times New Roman"/>
          <w:color w:val="000000" w:themeColor="text1"/>
          <w:lang w:val="ka-GE"/>
        </w:rPr>
        <w:t xml:space="preserve">საპროცენტო განაკვეთები </w:t>
      </w:r>
      <w:r w:rsidR="003879E8" w:rsidRPr="003879E8">
        <w:rPr>
          <w:rFonts w:ascii="Sylfaen" w:eastAsia="Calibri" w:hAnsi="Sylfaen" w:cs="Times New Roman"/>
          <w:color w:val="000000" w:themeColor="text1"/>
          <w:lang w:val="ka-GE"/>
        </w:rPr>
        <w:t xml:space="preserve">2024 წელს </w:t>
      </w:r>
      <w:r w:rsidRPr="003879E8">
        <w:rPr>
          <w:rFonts w:ascii="Sylfaen" w:eastAsia="Calibri" w:hAnsi="Sylfaen" w:cs="Times New Roman"/>
          <w:color w:val="000000" w:themeColor="text1"/>
          <w:lang w:val="ka-GE"/>
        </w:rPr>
        <w:t xml:space="preserve">შემცირებულია, რაც </w:t>
      </w:r>
      <w:r w:rsidR="00080D31" w:rsidRPr="003879E8">
        <w:rPr>
          <w:rFonts w:ascii="Sylfaen" w:eastAsia="Calibri" w:hAnsi="Sylfaen" w:cs="Times New Roman"/>
          <w:color w:val="000000" w:themeColor="text1"/>
          <w:lang w:val="ka-GE"/>
        </w:rPr>
        <w:t xml:space="preserve">ამერიკაშიც </w:t>
      </w:r>
      <w:r w:rsidRPr="003879E8">
        <w:rPr>
          <w:rFonts w:ascii="Sylfaen" w:eastAsia="Calibri" w:hAnsi="Sylfaen" w:cs="Times New Roman"/>
          <w:color w:val="000000" w:themeColor="text1"/>
          <w:lang w:val="ka-GE"/>
        </w:rPr>
        <w:t>მონეტარული პოლიტიკის შერბილების ტენდენციაზე მიუთითებს.</w:t>
      </w:r>
    </w:p>
    <w:p w:rsidR="00C338DA" w:rsidRPr="00C328E9" w:rsidRDefault="00C338DA" w:rsidP="00C338DA">
      <w:pPr>
        <w:spacing w:before="240" w:after="160"/>
        <w:ind w:firstLine="360"/>
        <w:jc w:val="both"/>
        <w:rPr>
          <w:rFonts w:ascii="Sylfaen" w:eastAsia="Calibri" w:hAnsi="Sylfaen" w:cs="Times New Roman"/>
          <w:color w:val="000000"/>
        </w:rPr>
      </w:pPr>
      <w:r w:rsidRPr="003879E8">
        <w:rPr>
          <w:rFonts w:ascii="Sylfaen" w:eastAsia="Calibri" w:hAnsi="Sylfaen" w:cs="Times New Roman"/>
          <w:color w:val="000000"/>
          <w:lang w:val="ka-GE"/>
        </w:rPr>
        <w:t xml:space="preserve">ამასთან, აღსანიშნავია, რომ საქართველოშიც არ ჰქონია </w:t>
      </w:r>
      <w:r w:rsidR="003879E8" w:rsidRPr="003879E8">
        <w:rPr>
          <w:rFonts w:ascii="Sylfaen" w:eastAsia="Calibri" w:hAnsi="Sylfaen" w:cs="Times New Roman"/>
          <w:color w:val="000000"/>
          <w:lang w:val="ka-GE"/>
        </w:rPr>
        <w:t xml:space="preserve">ადგილი </w:t>
      </w:r>
      <w:r w:rsidRPr="003879E8">
        <w:rPr>
          <w:rFonts w:ascii="Sylfaen" w:eastAsia="Calibri" w:hAnsi="Sylfaen" w:cs="Times New Roman"/>
          <w:color w:val="000000"/>
          <w:lang w:val="ka-GE"/>
        </w:rPr>
        <w:t xml:space="preserve">გამკაცრებული მონეტარული პოლიტიკის შენარჩუნებას და პირიქით, ეროვნულმა ბანკმა დაიწყო პოლიტიკის შერბილება, რის შედეგადაც რეფინანსირების განაკვეთი 2024 წლის განმავლობაში </w:t>
      </w:r>
      <w:proofErr w:type="spellStart"/>
      <w:r w:rsidR="003879E8" w:rsidRPr="003879E8">
        <w:rPr>
          <w:rFonts w:ascii="Sylfaen" w:eastAsia="Calibri" w:hAnsi="Sylfaen" w:cs="Times New Roman"/>
          <w:color w:val="000000"/>
        </w:rPr>
        <w:t>რამდენჯერმე</w:t>
      </w:r>
      <w:proofErr w:type="spellEnd"/>
      <w:r w:rsidR="003879E8" w:rsidRPr="003879E8">
        <w:rPr>
          <w:rFonts w:ascii="Sylfaen" w:eastAsia="Calibri" w:hAnsi="Sylfaen" w:cs="Times New Roman"/>
          <w:color w:val="000000"/>
        </w:rPr>
        <w:t xml:space="preserve"> </w:t>
      </w:r>
      <w:r w:rsidRPr="003879E8">
        <w:rPr>
          <w:rFonts w:ascii="Sylfaen" w:eastAsia="Calibri" w:hAnsi="Sylfaen" w:cs="Times New Roman"/>
          <w:color w:val="000000"/>
          <w:lang w:val="ka-GE"/>
        </w:rPr>
        <w:t xml:space="preserve">შემცირდა </w:t>
      </w:r>
      <w:r w:rsidR="003879E8" w:rsidRPr="003879E8">
        <w:rPr>
          <w:rFonts w:ascii="Sylfaen" w:eastAsia="Calibri" w:hAnsi="Sylfaen" w:cs="Times New Roman"/>
          <w:color w:val="000000"/>
          <w:lang w:val="ka-GE"/>
        </w:rPr>
        <w:t xml:space="preserve">და 2023 წლის ბოლოს არსებული </w:t>
      </w:r>
      <w:r w:rsidRPr="003879E8">
        <w:rPr>
          <w:rFonts w:ascii="Sylfaen" w:eastAsia="Calibri" w:hAnsi="Sylfaen" w:cs="Times New Roman"/>
          <w:color w:val="000000"/>
        </w:rPr>
        <w:t>9.0</w:t>
      </w:r>
      <w:r w:rsidRPr="003879E8">
        <w:rPr>
          <w:rFonts w:ascii="Sylfaen" w:eastAsia="Calibri" w:hAnsi="Sylfaen" w:cs="Times New Roman"/>
          <w:color w:val="000000"/>
          <w:lang w:val="ka-GE"/>
        </w:rPr>
        <w:t xml:space="preserve">-დან </w:t>
      </w:r>
      <w:r w:rsidR="003879E8" w:rsidRPr="003879E8">
        <w:rPr>
          <w:rFonts w:ascii="Sylfaen" w:eastAsia="Calibri" w:hAnsi="Sylfaen" w:cs="Times New Roman"/>
          <w:color w:val="000000"/>
          <w:lang w:val="ka-GE"/>
        </w:rPr>
        <w:t xml:space="preserve">2024 წლის ბოლოსთვის </w:t>
      </w:r>
      <w:r w:rsidRPr="003879E8">
        <w:rPr>
          <w:rFonts w:ascii="Sylfaen" w:eastAsia="Calibri" w:hAnsi="Sylfaen" w:cs="Times New Roman"/>
          <w:color w:val="000000"/>
        </w:rPr>
        <w:t>8.0</w:t>
      </w:r>
      <w:r w:rsidRPr="003879E8">
        <w:rPr>
          <w:rFonts w:ascii="Sylfaen" w:eastAsia="Calibri" w:hAnsi="Sylfaen" w:cs="Times New Roman"/>
          <w:color w:val="000000"/>
          <w:lang w:val="ka-GE"/>
        </w:rPr>
        <w:t xml:space="preserve"> პროცენტამდე</w:t>
      </w:r>
      <w:r w:rsidR="003879E8" w:rsidRPr="003879E8">
        <w:rPr>
          <w:rFonts w:ascii="Sylfaen" w:eastAsia="Calibri" w:hAnsi="Sylfaen" w:cs="Times New Roman"/>
          <w:color w:val="000000"/>
          <w:lang w:val="ka-GE"/>
        </w:rPr>
        <w:t xml:space="preserve"> შემცირდა</w:t>
      </w:r>
      <w:r w:rsidRPr="003879E8">
        <w:rPr>
          <w:rFonts w:ascii="Sylfaen" w:eastAsia="Calibri" w:hAnsi="Sylfaen" w:cs="Times New Roman"/>
          <w:color w:val="000000"/>
          <w:lang w:val="ka-GE"/>
        </w:rPr>
        <w:t>.</w:t>
      </w:r>
      <w:r w:rsidRPr="00E6009D">
        <w:rPr>
          <w:rFonts w:ascii="Sylfaen" w:eastAsia="Calibri" w:hAnsi="Sylfaen" w:cs="Times New Roman"/>
          <w:color w:val="000000"/>
          <w:lang w:val="ka-GE"/>
        </w:rPr>
        <w:t xml:space="preserve"> </w:t>
      </w:r>
    </w:p>
    <w:p w:rsidR="00C338DA" w:rsidRDefault="00C338DA" w:rsidP="005802BA">
      <w:pPr>
        <w:spacing w:before="240" w:after="160"/>
        <w:ind w:firstLine="360"/>
        <w:jc w:val="both"/>
        <w:rPr>
          <w:rFonts w:ascii="Sylfaen" w:eastAsia="Calibri" w:hAnsi="Sylfaen" w:cs="Times New Roman"/>
          <w:color w:val="000000"/>
          <w:lang w:val="ka-GE"/>
        </w:rPr>
      </w:pPr>
    </w:p>
    <w:p w:rsidR="005802BA" w:rsidRPr="000258A2" w:rsidRDefault="005802BA" w:rsidP="000258A2">
      <w:pPr>
        <w:spacing w:before="240" w:after="160" w:line="259" w:lineRule="auto"/>
        <w:jc w:val="both"/>
        <w:rPr>
          <w:rFonts w:ascii="Sylfaen" w:eastAsia="Calibri" w:hAnsi="Sylfaen" w:cs="Times New Roman"/>
          <w:b/>
          <w:lang w:val="ka-GE"/>
        </w:rPr>
      </w:pPr>
      <w:r w:rsidRPr="000258A2">
        <w:rPr>
          <w:rFonts w:ascii="Sylfaen" w:eastAsia="Calibri" w:hAnsi="Sylfaen" w:cs="Times New Roman"/>
          <w:b/>
          <w:lang w:val="ka-GE"/>
        </w:rPr>
        <w:t xml:space="preserve">მსოფლიოში ეკონომიკური ზრდის მოსალოდნელი შემცირება </w:t>
      </w:r>
    </w:p>
    <w:p w:rsidR="006D2BCE" w:rsidRDefault="005802BA" w:rsidP="005802BA">
      <w:pPr>
        <w:spacing w:before="240" w:after="160"/>
        <w:ind w:firstLine="360"/>
        <w:jc w:val="both"/>
        <w:rPr>
          <w:rFonts w:ascii="Sylfaen" w:eastAsia="Calibri" w:hAnsi="Sylfaen" w:cs="Times New Roman"/>
          <w:lang w:val="ka-GE"/>
        </w:rPr>
      </w:pPr>
      <w:r w:rsidRPr="00E6009D">
        <w:rPr>
          <w:rFonts w:ascii="Sylfaen" w:eastAsia="Calibri" w:hAnsi="Sylfaen" w:cs="Times New Roman"/>
          <w:lang w:val="ka-GE"/>
        </w:rPr>
        <w:t xml:space="preserve">როგორც რისკების ანალიზში იყო </w:t>
      </w:r>
      <w:r>
        <w:rPr>
          <w:rFonts w:ascii="Sylfaen" w:eastAsia="Calibri" w:hAnsi="Sylfaen" w:cs="Times New Roman"/>
          <w:lang w:val="ka-GE"/>
        </w:rPr>
        <w:t>ნავარაუდევ</w:t>
      </w:r>
      <w:r w:rsidRPr="00E6009D">
        <w:rPr>
          <w:rFonts w:ascii="Sylfaen" w:eastAsia="Calibri" w:hAnsi="Sylfaen" w:cs="Times New Roman"/>
          <w:lang w:val="ka-GE"/>
        </w:rPr>
        <w:t>ი, 202</w:t>
      </w:r>
      <w:r w:rsidR="00BB3A81">
        <w:rPr>
          <w:rFonts w:ascii="Sylfaen" w:eastAsia="Calibri" w:hAnsi="Sylfaen" w:cs="Times New Roman"/>
        </w:rPr>
        <w:t>4</w:t>
      </w:r>
      <w:r w:rsidRPr="00E6009D">
        <w:rPr>
          <w:rFonts w:ascii="Sylfaen" w:eastAsia="Calibri" w:hAnsi="Sylfaen" w:cs="Times New Roman"/>
          <w:lang w:val="ka-GE"/>
        </w:rPr>
        <w:t xml:space="preserve"> წელს ნაკლებად იყო მოსალოდნელი მსოფლიოში ეკონომიკის გაუმჯობესება საშუალოვადიან პერიოდში,</w:t>
      </w:r>
      <w:r w:rsidR="00BB3A81">
        <w:rPr>
          <w:rFonts w:ascii="Sylfaen" w:eastAsia="Calibri" w:hAnsi="Sylfaen" w:cs="Times New Roman"/>
          <w:lang w:val="ka-GE"/>
        </w:rPr>
        <w:t xml:space="preserve"> მსოფლიოში მიმდინარე </w:t>
      </w:r>
      <w:r w:rsidR="00BB3A81">
        <w:rPr>
          <w:rFonts w:ascii="Sylfaen" w:eastAsia="Calibri" w:hAnsi="Sylfaen" w:cs="Times New Roman"/>
          <w:lang w:val="ka-GE"/>
        </w:rPr>
        <w:lastRenderedPageBreak/>
        <w:t>პროცესებიდან გამომდინარე</w:t>
      </w:r>
      <w:r w:rsidRPr="00E6009D">
        <w:rPr>
          <w:rFonts w:ascii="Sylfaen" w:eastAsia="Calibri" w:hAnsi="Sylfaen" w:cs="Times New Roman"/>
          <w:lang w:val="ka-GE"/>
        </w:rPr>
        <w:t xml:space="preserve">. მსოფლიოში ეკონომიკური ზრდის მოსალოდნელი შემცირების რისკის რეალიზება დაკავშირებული იყო როგორც მოთხოვნის შემცირებასთან, ასევე </w:t>
      </w:r>
      <w:r w:rsidR="00657640">
        <w:rPr>
          <w:rFonts w:ascii="Sylfaen" w:eastAsia="Calibri" w:hAnsi="Sylfaen" w:cs="Times New Roman"/>
          <w:lang w:val="ka-GE"/>
        </w:rPr>
        <w:t xml:space="preserve">- </w:t>
      </w:r>
      <w:r w:rsidRPr="00E6009D">
        <w:rPr>
          <w:rFonts w:ascii="Sylfaen" w:eastAsia="Calibri" w:hAnsi="Sylfaen" w:cs="Times New Roman"/>
          <w:lang w:val="ka-GE"/>
        </w:rPr>
        <w:t xml:space="preserve">მიწოდების უარყოფით შოკთან, რასაც შესაძლოა კვლავ გამოეწვია როგორც ფასების ზრდა, ასევე ეკონომიკური აქტივობის შემცირება. </w:t>
      </w:r>
      <w:r w:rsidR="006D2BCE">
        <w:rPr>
          <w:rFonts w:ascii="Sylfaen" w:eastAsia="Calibri" w:hAnsi="Sylfaen" w:cs="Times New Roman"/>
          <w:lang w:val="ka-GE"/>
        </w:rPr>
        <w:t xml:space="preserve">ცენტრალური ბანკების მიერ საპროცენტო განაკვეთის ზრდის ან მაღალ ნიშნულზე შენარჩუნების შემთხვევაში ასევე შემცირდებოდა ეკონომიკური აქტივობა. </w:t>
      </w:r>
    </w:p>
    <w:p w:rsidR="005802BA" w:rsidRDefault="005802BA" w:rsidP="00630CEC">
      <w:pPr>
        <w:spacing w:before="240" w:after="160"/>
        <w:ind w:firstLine="360"/>
        <w:jc w:val="both"/>
        <w:rPr>
          <w:rFonts w:ascii="Sylfaen" w:eastAsia="Calibri" w:hAnsi="Sylfaen" w:cs="Times New Roman"/>
          <w:color w:val="000000" w:themeColor="text1"/>
          <w:lang w:val="ka-GE"/>
        </w:rPr>
      </w:pPr>
      <w:r w:rsidRPr="003F370F">
        <w:rPr>
          <w:rFonts w:ascii="Sylfaen" w:eastAsia="Calibri" w:hAnsi="Sylfaen" w:cs="Times New Roman"/>
          <w:color w:val="000000" w:themeColor="text1"/>
          <w:lang w:val="ka-GE"/>
        </w:rPr>
        <w:t>აღსანიშნავია, რომ მიუხედავად ზოგიერთ ქვეყანაში გაუარესებული ეკონომიკური მდგომარეობისა, ეკონომიკური ზრდის მოსალოდნელი შემცირების რისკი არ რეალიზდა 202</w:t>
      </w:r>
      <w:r w:rsidR="00212EDB" w:rsidRPr="003F370F">
        <w:rPr>
          <w:rFonts w:ascii="Sylfaen" w:eastAsia="Calibri" w:hAnsi="Sylfaen" w:cs="Times New Roman"/>
          <w:color w:val="000000" w:themeColor="text1"/>
          <w:lang w:val="ka-GE"/>
        </w:rPr>
        <w:t>4</w:t>
      </w:r>
      <w:r w:rsidRPr="003F370F">
        <w:rPr>
          <w:rFonts w:ascii="Sylfaen" w:eastAsia="Calibri" w:hAnsi="Sylfaen" w:cs="Times New Roman"/>
          <w:color w:val="000000" w:themeColor="text1"/>
          <w:lang w:val="ka-GE"/>
        </w:rPr>
        <w:t xml:space="preserve"> წელს და ძირითადად დაფიქსირდა ეკონომიკური ზრდა. ამასთან, 202</w:t>
      </w:r>
      <w:r w:rsidR="00212EDB" w:rsidRPr="003F370F">
        <w:rPr>
          <w:rFonts w:ascii="Sylfaen" w:eastAsia="Calibri" w:hAnsi="Sylfaen" w:cs="Times New Roman"/>
          <w:color w:val="000000" w:themeColor="text1"/>
          <w:lang w:val="ka-GE"/>
        </w:rPr>
        <w:t>3</w:t>
      </w:r>
      <w:r w:rsidRPr="003F370F">
        <w:rPr>
          <w:rFonts w:ascii="Sylfaen" w:eastAsia="Calibri" w:hAnsi="Sylfaen" w:cs="Times New Roman"/>
          <w:color w:val="000000" w:themeColor="text1"/>
          <w:lang w:val="ka-GE"/>
        </w:rPr>
        <w:t xml:space="preserve"> წლის ბოლოს მსოფლიოში მოსალოდნელი 2.</w:t>
      </w:r>
      <w:r w:rsidR="00212EDB" w:rsidRPr="003F370F">
        <w:rPr>
          <w:rFonts w:ascii="Sylfaen" w:eastAsia="Calibri" w:hAnsi="Sylfaen" w:cs="Times New Roman"/>
          <w:color w:val="000000" w:themeColor="text1"/>
          <w:lang w:val="ka-GE"/>
        </w:rPr>
        <w:t>9</w:t>
      </w:r>
      <w:r w:rsidRPr="003F370F">
        <w:rPr>
          <w:rFonts w:ascii="Sylfaen" w:eastAsia="Calibri" w:hAnsi="Sylfaen" w:cs="Times New Roman"/>
          <w:color w:val="000000" w:themeColor="text1"/>
          <w:lang w:val="ka-GE"/>
        </w:rPr>
        <w:t xml:space="preserve"> პროცენტიანი ეკონომიკური ზრდის ნაცვლად</w:t>
      </w:r>
      <w:r w:rsidR="00212EDB" w:rsidRPr="003F370F">
        <w:rPr>
          <w:rFonts w:ascii="Sylfaen" w:eastAsia="Calibri" w:hAnsi="Sylfaen" w:cs="Times New Roman"/>
          <w:color w:val="000000" w:themeColor="text1"/>
          <w:lang w:val="ka-GE"/>
        </w:rPr>
        <w:t xml:space="preserve"> (განვითარებული ქვეყნებისთვის პროგნოზი იყო 1.5 პროცენტიანი ზრდა, ხოლო განვითარებადი ქვეყნებისთვის - 4.0 პროცენტიანი ზრდა), 2024</w:t>
      </w:r>
      <w:r w:rsidRPr="003F370F">
        <w:rPr>
          <w:rFonts w:ascii="Sylfaen" w:eastAsia="Calibri" w:hAnsi="Sylfaen" w:cs="Times New Roman"/>
          <w:color w:val="000000" w:themeColor="text1"/>
          <w:lang w:val="ka-GE"/>
        </w:rPr>
        <w:t xml:space="preserve"> წელს დაფიქსირდა </w:t>
      </w:r>
      <w:r w:rsidR="00212EDB" w:rsidRPr="003F370F">
        <w:rPr>
          <w:rFonts w:ascii="Sylfaen" w:eastAsia="Calibri" w:hAnsi="Sylfaen" w:cs="Times New Roman"/>
          <w:color w:val="000000" w:themeColor="text1"/>
          <w:lang w:val="ka-GE"/>
        </w:rPr>
        <w:t xml:space="preserve">პროგნოზირებულზე მაღალი, </w:t>
      </w:r>
      <w:r w:rsidRPr="003F370F">
        <w:rPr>
          <w:rFonts w:ascii="Sylfaen" w:eastAsia="Calibri" w:hAnsi="Sylfaen" w:cs="Times New Roman"/>
          <w:color w:val="000000" w:themeColor="text1"/>
          <w:lang w:val="ka-GE"/>
        </w:rPr>
        <w:t>3.</w:t>
      </w:r>
      <w:r w:rsidR="00212EDB" w:rsidRPr="003F370F">
        <w:rPr>
          <w:rFonts w:ascii="Sylfaen" w:eastAsia="Calibri" w:hAnsi="Sylfaen" w:cs="Times New Roman"/>
          <w:color w:val="000000" w:themeColor="text1"/>
          <w:lang w:val="ka-GE"/>
        </w:rPr>
        <w:t>2</w:t>
      </w:r>
      <w:r w:rsidRPr="003F370F">
        <w:rPr>
          <w:rFonts w:ascii="Sylfaen" w:eastAsia="Calibri" w:hAnsi="Sylfaen" w:cs="Times New Roman"/>
          <w:color w:val="000000" w:themeColor="text1"/>
          <w:lang w:val="ka-GE"/>
        </w:rPr>
        <w:t xml:space="preserve"> პროცენტიანი ზრდა (</w:t>
      </w:r>
      <w:r w:rsidR="00B52A9F" w:rsidRPr="003F370F">
        <w:rPr>
          <w:rFonts w:ascii="Sylfaen" w:eastAsia="Calibri" w:hAnsi="Sylfaen" w:cs="Times New Roman"/>
          <w:color w:val="000000" w:themeColor="text1"/>
          <w:lang w:val="ka-GE"/>
        </w:rPr>
        <w:t xml:space="preserve">წინასწარი შეფასებით, </w:t>
      </w:r>
      <w:r w:rsidRPr="003F370F">
        <w:rPr>
          <w:rFonts w:ascii="Sylfaen" w:eastAsia="Calibri" w:hAnsi="Sylfaen" w:cs="Times New Roman"/>
          <w:color w:val="000000" w:themeColor="text1"/>
          <w:lang w:val="ka-GE"/>
        </w:rPr>
        <w:t>პროგნოზირებულზე მაღალი ზრდა დაფიქსირდა როგორც განვითარებულ</w:t>
      </w:r>
      <w:r w:rsidR="00212EDB" w:rsidRPr="003F370F">
        <w:rPr>
          <w:rFonts w:ascii="Sylfaen" w:eastAsia="Calibri" w:hAnsi="Sylfaen" w:cs="Times New Roman"/>
          <w:color w:val="000000" w:themeColor="text1"/>
          <w:lang w:val="ka-GE"/>
        </w:rPr>
        <w:t xml:space="preserve"> (1.7 პროცენტი)</w:t>
      </w:r>
      <w:r w:rsidRPr="003F370F">
        <w:rPr>
          <w:rFonts w:ascii="Sylfaen" w:eastAsia="Calibri" w:hAnsi="Sylfaen" w:cs="Times New Roman"/>
          <w:color w:val="000000" w:themeColor="text1"/>
          <w:lang w:val="ka-GE"/>
        </w:rPr>
        <w:t xml:space="preserve">, ასევე - განვითარებად </w:t>
      </w:r>
      <w:r w:rsidR="00B52A9F" w:rsidRPr="003F370F">
        <w:rPr>
          <w:rFonts w:ascii="Sylfaen" w:eastAsia="Calibri" w:hAnsi="Sylfaen" w:cs="Times New Roman"/>
          <w:color w:val="000000" w:themeColor="text1"/>
          <w:lang w:val="ka-GE"/>
        </w:rPr>
        <w:t>(</w:t>
      </w:r>
      <w:r w:rsidR="00B52A9F" w:rsidRPr="003F370F">
        <w:rPr>
          <w:rFonts w:ascii="Sylfaen" w:eastAsia="Calibri" w:hAnsi="Sylfaen" w:cs="Times New Roman"/>
          <w:color w:val="000000" w:themeColor="text1"/>
        </w:rPr>
        <w:t>4</w:t>
      </w:r>
      <w:r w:rsidR="00B52A9F" w:rsidRPr="003F370F">
        <w:rPr>
          <w:rFonts w:ascii="Sylfaen" w:eastAsia="Calibri" w:hAnsi="Sylfaen" w:cs="Times New Roman"/>
          <w:color w:val="000000" w:themeColor="text1"/>
          <w:lang w:val="ka-GE"/>
        </w:rPr>
        <w:t xml:space="preserve">.2 პროცენტი) </w:t>
      </w:r>
      <w:r w:rsidRPr="003F370F">
        <w:rPr>
          <w:rFonts w:ascii="Sylfaen" w:eastAsia="Calibri" w:hAnsi="Sylfaen" w:cs="Times New Roman"/>
          <w:color w:val="000000" w:themeColor="text1"/>
          <w:lang w:val="ka-GE"/>
        </w:rPr>
        <w:t>ქვეყნებში), რაც გაუმჯობესებულ ეკონომიკურ აქტივობაზე მიუთითებს. რაც შეეხება საქართველოს, წინასწარი მონაცემებით, 202</w:t>
      </w:r>
      <w:r w:rsidR="00212EDB" w:rsidRPr="003F370F">
        <w:rPr>
          <w:rFonts w:ascii="Sylfaen" w:eastAsia="Calibri" w:hAnsi="Sylfaen" w:cs="Times New Roman"/>
          <w:color w:val="000000" w:themeColor="text1"/>
          <w:lang w:val="ka-GE"/>
        </w:rPr>
        <w:t>4</w:t>
      </w:r>
      <w:r w:rsidRPr="003F370F">
        <w:rPr>
          <w:rFonts w:ascii="Sylfaen" w:eastAsia="Calibri" w:hAnsi="Sylfaen" w:cs="Times New Roman"/>
          <w:color w:val="000000" w:themeColor="text1"/>
          <w:lang w:val="ka-GE"/>
        </w:rPr>
        <w:t xml:space="preserve"> წელს დაფიქსირდა </w:t>
      </w:r>
      <w:r w:rsidR="00212EDB" w:rsidRPr="003F370F">
        <w:rPr>
          <w:rFonts w:ascii="Sylfaen" w:eastAsia="Calibri" w:hAnsi="Sylfaen" w:cs="Times New Roman"/>
          <w:color w:val="000000" w:themeColor="text1"/>
          <w:lang w:val="ka-GE"/>
        </w:rPr>
        <w:t>9.4</w:t>
      </w:r>
      <w:r w:rsidRPr="003F370F">
        <w:rPr>
          <w:rFonts w:ascii="Sylfaen" w:eastAsia="Calibri" w:hAnsi="Sylfaen" w:cs="Times New Roman"/>
          <w:color w:val="000000" w:themeColor="text1"/>
          <w:lang w:val="ka-GE"/>
        </w:rPr>
        <w:t xml:space="preserve"> პროცენტიანი ეკონომიკური ზრდა, პროგნოზირებული </w:t>
      </w:r>
      <w:r w:rsidR="00212EDB" w:rsidRPr="003F370F">
        <w:rPr>
          <w:rFonts w:ascii="Sylfaen" w:eastAsia="Calibri" w:hAnsi="Sylfaen" w:cs="Times New Roman"/>
          <w:color w:val="000000" w:themeColor="text1"/>
          <w:lang w:val="ka-GE"/>
        </w:rPr>
        <w:t>9.0</w:t>
      </w:r>
      <w:r w:rsidRPr="003F370F">
        <w:rPr>
          <w:rFonts w:ascii="Sylfaen" w:eastAsia="Calibri" w:hAnsi="Sylfaen" w:cs="Times New Roman"/>
          <w:color w:val="000000" w:themeColor="text1"/>
          <w:lang w:val="ka-GE"/>
        </w:rPr>
        <w:t xml:space="preserve"> პროცენტის ნაცვლად, 202</w:t>
      </w:r>
      <w:r w:rsidR="00212EDB" w:rsidRPr="003F370F">
        <w:rPr>
          <w:rFonts w:ascii="Sylfaen" w:eastAsia="Calibri" w:hAnsi="Sylfaen" w:cs="Times New Roman"/>
          <w:color w:val="000000" w:themeColor="text1"/>
          <w:lang w:val="ka-GE"/>
        </w:rPr>
        <w:t>3</w:t>
      </w:r>
      <w:r w:rsidRPr="003F370F">
        <w:rPr>
          <w:rFonts w:ascii="Sylfaen" w:eastAsia="Calibri" w:hAnsi="Sylfaen" w:cs="Times New Roman"/>
          <w:color w:val="000000" w:themeColor="text1"/>
          <w:lang w:val="ka-GE"/>
        </w:rPr>
        <w:t xml:space="preserve"> წლის </w:t>
      </w:r>
      <w:r w:rsidR="00212EDB" w:rsidRPr="003F370F">
        <w:rPr>
          <w:rFonts w:ascii="Sylfaen" w:eastAsia="Calibri" w:hAnsi="Sylfaen" w:cs="Times New Roman"/>
          <w:color w:val="000000" w:themeColor="text1"/>
          <w:lang w:val="ka-GE"/>
        </w:rPr>
        <w:t xml:space="preserve">7.8 პროცენტიანი </w:t>
      </w:r>
      <w:r w:rsidRPr="003F370F">
        <w:rPr>
          <w:rFonts w:ascii="Sylfaen" w:eastAsia="Calibri" w:hAnsi="Sylfaen" w:cs="Times New Roman"/>
          <w:color w:val="000000" w:themeColor="text1"/>
          <w:lang w:val="ka-GE"/>
        </w:rPr>
        <w:t>ეკონომიკური ზრდის შემდეგ.</w:t>
      </w:r>
      <w:r w:rsidR="00212EDB" w:rsidRPr="003F370F">
        <w:rPr>
          <w:rFonts w:ascii="Sylfaen" w:eastAsia="Calibri" w:hAnsi="Sylfaen" w:cs="Times New Roman"/>
          <w:color w:val="000000" w:themeColor="text1"/>
          <w:lang w:val="ka-GE"/>
        </w:rPr>
        <w:t xml:space="preserve"> </w:t>
      </w:r>
    </w:p>
    <w:p w:rsidR="005802BA" w:rsidRPr="007F1CB9" w:rsidRDefault="005802BA" w:rsidP="00630CEC">
      <w:pPr>
        <w:pStyle w:val="Caption1"/>
        <w:spacing w:line="276" w:lineRule="auto"/>
        <w:ind w:firstLine="360"/>
        <w:jc w:val="both"/>
        <w:rPr>
          <w:rFonts w:ascii="Sylfaen" w:eastAsia="Calibri" w:hAnsi="Sylfaen" w:cs="Times New Roman"/>
          <w:i w:val="0"/>
          <w:iCs w:val="0"/>
          <w:color w:val="auto"/>
          <w:sz w:val="22"/>
          <w:szCs w:val="22"/>
          <w:lang w:val="ka-GE"/>
        </w:rPr>
      </w:pPr>
      <w:r w:rsidRPr="007F1CB9">
        <w:rPr>
          <w:rFonts w:ascii="Sylfaen" w:eastAsia="Calibri" w:hAnsi="Sylfaen" w:cs="Times New Roman"/>
          <w:i w:val="0"/>
          <w:iCs w:val="0"/>
          <w:color w:val="auto"/>
          <w:sz w:val="22"/>
          <w:szCs w:val="22"/>
          <w:lang w:val="ka-GE"/>
        </w:rPr>
        <w:t>ცხრილში მოცემულია 202</w:t>
      </w:r>
      <w:r w:rsidR="00605EC6">
        <w:rPr>
          <w:rFonts w:ascii="Sylfaen" w:eastAsia="Calibri" w:hAnsi="Sylfaen" w:cs="Times New Roman"/>
          <w:i w:val="0"/>
          <w:iCs w:val="0"/>
          <w:color w:val="auto"/>
          <w:sz w:val="22"/>
          <w:szCs w:val="22"/>
          <w:lang w:val="ka-GE"/>
        </w:rPr>
        <w:t>4</w:t>
      </w:r>
      <w:r w:rsidRPr="007F1CB9">
        <w:rPr>
          <w:rFonts w:ascii="Sylfaen" w:eastAsia="Calibri" w:hAnsi="Sylfaen" w:cs="Times New Roman"/>
          <w:i w:val="0"/>
          <w:iCs w:val="0"/>
          <w:color w:val="auto"/>
          <w:sz w:val="22"/>
          <w:szCs w:val="22"/>
          <w:lang w:val="ka-GE"/>
        </w:rPr>
        <w:t xml:space="preserve"> წლის სახელმწიფო ბიუჯეტზე (202</w:t>
      </w:r>
      <w:r w:rsidR="00605EC6">
        <w:rPr>
          <w:rFonts w:ascii="Sylfaen" w:eastAsia="Calibri" w:hAnsi="Sylfaen" w:cs="Times New Roman"/>
          <w:i w:val="0"/>
          <w:iCs w:val="0"/>
          <w:color w:val="auto"/>
          <w:sz w:val="22"/>
          <w:szCs w:val="22"/>
          <w:lang w:val="ka-GE"/>
        </w:rPr>
        <w:t>3</w:t>
      </w:r>
      <w:r w:rsidRPr="007F1CB9">
        <w:rPr>
          <w:rFonts w:ascii="Sylfaen" w:eastAsia="Calibri" w:hAnsi="Sylfaen" w:cs="Times New Roman"/>
          <w:i w:val="0"/>
          <w:iCs w:val="0"/>
          <w:color w:val="auto"/>
          <w:sz w:val="22"/>
          <w:szCs w:val="22"/>
          <w:lang w:val="ka-GE"/>
        </w:rPr>
        <w:t xml:space="preserve"> წლის დეკემბერი) თანდართული სცენარების ანალიზის  დოკუმენტში იდენტიფიცირებული რისკების რეალიზების მაჩვენებლები:</w:t>
      </w:r>
    </w:p>
    <w:tbl>
      <w:tblPr>
        <w:tblStyle w:val="TableGrid"/>
        <w:tblW w:w="5000" w:type="pct"/>
        <w:tblLook w:val="04A0" w:firstRow="1" w:lastRow="0" w:firstColumn="1" w:lastColumn="0" w:noHBand="0" w:noVBand="1"/>
      </w:tblPr>
      <w:tblGrid>
        <w:gridCol w:w="4161"/>
        <w:gridCol w:w="1662"/>
        <w:gridCol w:w="1780"/>
        <w:gridCol w:w="1747"/>
      </w:tblGrid>
      <w:tr w:rsidR="005802BA" w:rsidRPr="00ED5F97" w:rsidTr="00E46D4F">
        <w:trPr>
          <w:trHeight w:val="518"/>
        </w:trPr>
        <w:tc>
          <w:tcPr>
            <w:tcW w:w="2225" w:type="pct"/>
            <w:shd w:val="clear" w:color="auto" w:fill="auto"/>
          </w:tcPr>
          <w:p w:rsidR="005802BA" w:rsidRPr="00ED5F97" w:rsidRDefault="005802BA" w:rsidP="00591E4E">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რისკები</w:t>
            </w:r>
          </w:p>
        </w:tc>
        <w:tc>
          <w:tcPr>
            <w:tcW w:w="889" w:type="pct"/>
            <w:shd w:val="clear" w:color="auto" w:fill="E2EFD9" w:themeFill="accent6" w:themeFillTint="33"/>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არ არის რეალიზებული</w:t>
            </w:r>
          </w:p>
        </w:tc>
        <w:tc>
          <w:tcPr>
            <w:tcW w:w="952" w:type="pct"/>
            <w:shd w:val="clear" w:color="auto" w:fill="FFF2CC" w:themeFill="accent4" w:themeFillTint="33"/>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ნაწილობრივ რეალიზებულია</w:t>
            </w:r>
          </w:p>
        </w:tc>
        <w:tc>
          <w:tcPr>
            <w:tcW w:w="934" w:type="pct"/>
            <w:shd w:val="clear" w:color="auto" w:fill="F7CAAC" w:themeFill="accent2" w:themeFillTint="66"/>
          </w:tcPr>
          <w:p w:rsidR="005802BA" w:rsidRPr="00ED5F97" w:rsidRDefault="005802BA"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lang w:val="ka-GE"/>
              </w:rPr>
              <w:t>რეალიზებულია</w:t>
            </w:r>
          </w:p>
        </w:tc>
      </w:tr>
      <w:tr w:rsidR="00DE6541" w:rsidRPr="00ED5F97" w:rsidTr="00E46D4F">
        <w:trPr>
          <w:trHeight w:val="114"/>
        </w:trPr>
        <w:tc>
          <w:tcPr>
            <w:tcW w:w="2225"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ფულადი შემოდინების შემცირება </w:t>
            </w:r>
          </w:p>
        </w:tc>
        <w:tc>
          <w:tcPr>
            <w:tcW w:w="889" w:type="pct"/>
            <w:shd w:val="clear" w:color="auto" w:fill="E2EFD9" w:themeFill="accent6" w:themeFillTint="33"/>
            <w:vAlign w:val="center"/>
          </w:tcPr>
          <w:p w:rsidR="005802BA" w:rsidRPr="00ED5F97" w:rsidRDefault="005802BA" w:rsidP="00DE6541">
            <w:pPr>
              <w:jc w:val="center"/>
              <w:rPr>
                <w:rFonts w:ascii="Sylfaen" w:eastAsia="Calibri" w:hAnsi="Sylfaen" w:cs="Times New Roman"/>
                <w:b/>
                <w:sz w:val="20"/>
                <w:szCs w:val="20"/>
              </w:rPr>
            </w:pPr>
          </w:p>
        </w:tc>
        <w:tc>
          <w:tcPr>
            <w:tcW w:w="952" w:type="pct"/>
            <w:shd w:val="clear" w:color="auto" w:fill="FFF2CC" w:themeFill="accent4" w:themeFillTint="33"/>
            <w:vAlign w:val="center"/>
          </w:tcPr>
          <w:p w:rsidR="005802BA" w:rsidRPr="00ED5F97" w:rsidRDefault="005802BA" w:rsidP="00DE6541">
            <w:pPr>
              <w:jc w:val="center"/>
              <w:rPr>
                <w:rFonts w:ascii="Sylfaen" w:eastAsia="Calibri" w:hAnsi="Sylfaen" w:cs="Times New Roman"/>
                <w:b/>
                <w:sz w:val="20"/>
                <w:szCs w:val="20"/>
                <w:lang w:val="ka-GE"/>
              </w:rPr>
            </w:pPr>
          </w:p>
        </w:tc>
        <w:tc>
          <w:tcPr>
            <w:tcW w:w="934" w:type="pct"/>
            <w:shd w:val="clear" w:color="auto" w:fill="F7CAAC" w:themeFill="accent2" w:themeFillTint="66"/>
            <w:vAlign w:val="center"/>
          </w:tcPr>
          <w:p w:rsidR="005802BA" w:rsidRPr="00ED5F97" w:rsidRDefault="00071E87" w:rsidP="00DE6541">
            <w:pPr>
              <w:jc w:val="center"/>
              <w:rPr>
                <w:rFonts w:ascii="Sylfaen" w:eastAsia="Calibri" w:hAnsi="Sylfaen" w:cs="Times New Roman"/>
                <w:b/>
                <w:sz w:val="20"/>
                <w:szCs w:val="20"/>
                <w:lang w:val="ka-GE"/>
              </w:rPr>
            </w:pPr>
            <w:r w:rsidRPr="00ED5F97">
              <w:rPr>
                <w:rFonts w:ascii="Sylfaen" w:eastAsia="Calibri" w:hAnsi="Sylfaen" w:cs="Times New Roman"/>
                <w:b/>
                <w:sz w:val="20"/>
                <w:szCs w:val="20"/>
              </w:rPr>
              <w:t>X</w:t>
            </w:r>
          </w:p>
        </w:tc>
      </w:tr>
      <w:tr w:rsidR="00DE6541" w:rsidRPr="00ED5F97" w:rsidTr="00E46D4F">
        <w:trPr>
          <w:trHeight w:val="229"/>
        </w:trPr>
        <w:tc>
          <w:tcPr>
            <w:tcW w:w="2225" w:type="pct"/>
            <w:shd w:val="clear" w:color="auto" w:fill="auto"/>
          </w:tcPr>
          <w:p w:rsidR="005802BA" w:rsidRPr="00ED5F97" w:rsidRDefault="005802BA" w:rsidP="00591E4E">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ტურიზმის გლობალური სენტიმენტების გაუარესება</w:t>
            </w:r>
          </w:p>
        </w:tc>
        <w:tc>
          <w:tcPr>
            <w:tcW w:w="889" w:type="pct"/>
            <w:shd w:val="clear" w:color="auto" w:fill="E2EFD9" w:themeFill="accent6" w:themeFillTint="33"/>
            <w:vAlign w:val="center"/>
          </w:tcPr>
          <w:p w:rsidR="005802BA" w:rsidRPr="00ED5F97" w:rsidRDefault="005802BA" w:rsidP="00DE6541">
            <w:pPr>
              <w:jc w:val="center"/>
              <w:rPr>
                <w:rFonts w:ascii="Sylfaen" w:eastAsia="Calibri" w:hAnsi="Sylfaen" w:cs="Times New Roman"/>
                <w:b/>
                <w:sz w:val="20"/>
                <w:szCs w:val="20"/>
              </w:rPr>
            </w:pPr>
            <w:r w:rsidRPr="00ED5F97">
              <w:rPr>
                <w:rFonts w:ascii="Sylfaen" w:eastAsia="Calibri" w:hAnsi="Sylfaen" w:cs="Times New Roman"/>
                <w:b/>
                <w:sz w:val="20"/>
                <w:szCs w:val="20"/>
              </w:rPr>
              <w:t>X</w:t>
            </w:r>
          </w:p>
        </w:tc>
        <w:tc>
          <w:tcPr>
            <w:tcW w:w="952" w:type="pct"/>
            <w:shd w:val="clear" w:color="auto" w:fill="FFF2CC" w:themeFill="accent4" w:themeFillTint="33"/>
            <w:vAlign w:val="center"/>
          </w:tcPr>
          <w:p w:rsidR="005802BA" w:rsidRPr="00ED5F97" w:rsidRDefault="005802BA" w:rsidP="00DE6541">
            <w:pPr>
              <w:jc w:val="center"/>
              <w:rPr>
                <w:rFonts w:ascii="Sylfaen" w:eastAsia="Calibri" w:hAnsi="Sylfaen" w:cs="Times New Roman"/>
                <w:b/>
                <w:sz w:val="20"/>
                <w:szCs w:val="20"/>
                <w:lang w:val="ka-GE"/>
              </w:rPr>
            </w:pPr>
          </w:p>
        </w:tc>
        <w:tc>
          <w:tcPr>
            <w:tcW w:w="934" w:type="pct"/>
            <w:shd w:val="clear" w:color="auto" w:fill="F7CAAC" w:themeFill="accent2" w:themeFillTint="66"/>
            <w:vAlign w:val="center"/>
          </w:tcPr>
          <w:p w:rsidR="005802BA" w:rsidRPr="00ED5F97" w:rsidRDefault="005802BA" w:rsidP="00DE6541">
            <w:pPr>
              <w:jc w:val="center"/>
              <w:rPr>
                <w:rFonts w:ascii="Sylfaen" w:eastAsia="Calibri" w:hAnsi="Sylfaen" w:cs="Times New Roman"/>
                <w:b/>
                <w:sz w:val="20"/>
                <w:szCs w:val="20"/>
                <w:lang w:val="ka-GE"/>
              </w:rPr>
            </w:pPr>
          </w:p>
        </w:tc>
      </w:tr>
      <w:tr w:rsidR="00605EC6" w:rsidRPr="00ED5F97" w:rsidTr="00E46D4F">
        <w:trPr>
          <w:trHeight w:val="229"/>
        </w:trPr>
        <w:tc>
          <w:tcPr>
            <w:tcW w:w="2225" w:type="pct"/>
            <w:shd w:val="clear" w:color="auto" w:fill="auto"/>
          </w:tcPr>
          <w:p w:rsidR="00605EC6" w:rsidRPr="00ED5F97" w:rsidRDefault="00605EC6" w:rsidP="00605EC6">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გლობალური სავაჭრო ბრუნვის შემცირება </w:t>
            </w:r>
          </w:p>
        </w:tc>
        <w:tc>
          <w:tcPr>
            <w:tcW w:w="889" w:type="pct"/>
            <w:shd w:val="clear" w:color="auto" w:fill="E2EFD9" w:themeFill="accent6" w:themeFillTint="33"/>
            <w:vAlign w:val="center"/>
          </w:tcPr>
          <w:p w:rsidR="00605EC6" w:rsidRPr="00ED5F97" w:rsidRDefault="00E46D4F" w:rsidP="00605EC6">
            <w:pPr>
              <w:jc w:val="center"/>
              <w:rPr>
                <w:rFonts w:ascii="Sylfaen" w:eastAsia="Calibri" w:hAnsi="Sylfaen" w:cs="Times New Roman"/>
                <w:b/>
                <w:sz w:val="20"/>
                <w:szCs w:val="20"/>
              </w:rPr>
            </w:pPr>
            <w:r w:rsidRPr="00E46D4F">
              <w:rPr>
                <w:rFonts w:ascii="Sylfaen" w:eastAsia="Calibri" w:hAnsi="Sylfaen" w:cs="Times New Roman"/>
                <w:b/>
                <w:sz w:val="20"/>
                <w:szCs w:val="20"/>
              </w:rPr>
              <w:t>X</w:t>
            </w:r>
          </w:p>
        </w:tc>
        <w:tc>
          <w:tcPr>
            <w:tcW w:w="952" w:type="pct"/>
            <w:shd w:val="clear" w:color="auto" w:fill="FFF2CC" w:themeFill="accent4" w:themeFillTint="33"/>
            <w:vAlign w:val="center"/>
          </w:tcPr>
          <w:p w:rsidR="00605EC6" w:rsidRPr="00ED5F97" w:rsidRDefault="00605EC6" w:rsidP="00605EC6">
            <w:pPr>
              <w:jc w:val="center"/>
              <w:rPr>
                <w:rFonts w:ascii="Sylfaen" w:eastAsia="Calibri" w:hAnsi="Sylfaen" w:cs="Times New Roman"/>
                <w:b/>
                <w:sz w:val="20"/>
                <w:szCs w:val="20"/>
                <w:lang w:val="ka-GE"/>
              </w:rPr>
            </w:pPr>
          </w:p>
        </w:tc>
        <w:tc>
          <w:tcPr>
            <w:tcW w:w="934" w:type="pct"/>
            <w:shd w:val="clear" w:color="auto" w:fill="F7CAAC" w:themeFill="accent2" w:themeFillTint="66"/>
            <w:vAlign w:val="center"/>
          </w:tcPr>
          <w:p w:rsidR="00605EC6" w:rsidRPr="00ED5F97" w:rsidRDefault="00605EC6" w:rsidP="00605EC6">
            <w:pPr>
              <w:jc w:val="center"/>
              <w:rPr>
                <w:rFonts w:ascii="Sylfaen" w:eastAsia="Calibri" w:hAnsi="Sylfaen" w:cs="Times New Roman"/>
                <w:b/>
                <w:sz w:val="20"/>
                <w:szCs w:val="20"/>
                <w:lang w:val="ka-GE"/>
              </w:rPr>
            </w:pPr>
          </w:p>
        </w:tc>
      </w:tr>
      <w:tr w:rsidR="00605EC6" w:rsidRPr="00ED5F97" w:rsidTr="00E46D4F">
        <w:trPr>
          <w:trHeight w:val="114"/>
        </w:trPr>
        <w:tc>
          <w:tcPr>
            <w:tcW w:w="2225" w:type="pct"/>
            <w:shd w:val="clear" w:color="auto" w:fill="auto"/>
          </w:tcPr>
          <w:p w:rsidR="00605EC6" w:rsidRPr="00ED5F97" w:rsidRDefault="00605EC6" w:rsidP="00605EC6">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რეგიონული რისკები </w:t>
            </w:r>
          </w:p>
        </w:tc>
        <w:tc>
          <w:tcPr>
            <w:tcW w:w="889" w:type="pct"/>
            <w:shd w:val="clear" w:color="auto" w:fill="E2EFD9" w:themeFill="accent6" w:themeFillTint="33"/>
            <w:vAlign w:val="center"/>
          </w:tcPr>
          <w:p w:rsidR="00605EC6" w:rsidRPr="00ED5F97" w:rsidRDefault="00605EC6" w:rsidP="00605EC6">
            <w:pPr>
              <w:jc w:val="center"/>
              <w:rPr>
                <w:rFonts w:ascii="Sylfaen" w:eastAsia="Calibri" w:hAnsi="Sylfaen" w:cs="Times New Roman"/>
                <w:b/>
                <w:sz w:val="20"/>
                <w:szCs w:val="20"/>
                <w:lang w:val="ka-GE"/>
              </w:rPr>
            </w:pPr>
          </w:p>
        </w:tc>
        <w:tc>
          <w:tcPr>
            <w:tcW w:w="952" w:type="pct"/>
            <w:shd w:val="clear" w:color="auto" w:fill="FFF2CC" w:themeFill="accent4" w:themeFillTint="33"/>
            <w:vAlign w:val="center"/>
          </w:tcPr>
          <w:p w:rsidR="00605EC6" w:rsidRPr="00ED5F97" w:rsidRDefault="00605EC6" w:rsidP="00605EC6">
            <w:pPr>
              <w:jc w:val="center"/>
              <w:rPr>
                <w:rFonts w:ascii="Sylfaen" w:eastAsia="Calibri" w:hAnsi="Sylfaen" w:cs="Times New Roman"/>
                <w:b/>
                <w:sz w:val="20"/>
                <w:szCs w:val="20"/>
                <w:lang w:val="ka-GE"/>
              </w:rPr>
            </w:pPr>
            <w:r w:rsidRPr="00ED5F97">
              <w:rPr>
                <w:rFonts w:ascii="Sylfaen" w:eastAsia="Calibri" w:hAnsi="Sylfaen" w:cs="Times New Roman"/>
                <w:b/>
                <w:sz w:val="20"/>
                <w:szCs w:val="20"/>
              </w:rPr>
              <w:t>X</w:t>
            </w:r>
          </w:p>
        </w:tc>
        <w:tc>
          <w:tcPr>
            <w:tcW w:w="934" w:type="pct"/>
            <w:shd w:val="clear" w:color="auto" w:fill="F7CAAC" w:themeFill="accent2" w:themeFillTint="66"/>
            <w:vAlign w:val="center"/>
          </w:tcPr>
          <w:p w:rsidR="00605EC6" w:rsidRPr="00ED5F97" w:rsidRDefault="00605EC6" w:rsidP="00605EC6">
            <w:pPr>
              <w:jc w:val="center"/>
              <w:rPr>
                <w:rFonts w:ascii="Sylfaen" w:eastAsia="Calibri" w:hAnsi="Sylfaen" w:cs="Times New Roman"/>
                <w:b/>
                <w:sz w:val="20"/>
                <w:szCs w:val="20"/>
              </w:rPr>
            </w:pPr>
          </w:p>
        </w:tc>
      </w:tr>
      <w:tr w:rsidR="00605EC6" w:rsidRPr="00ED5F97" w:rsidTr="00E46D4F">
        <w:trPr>
          <w:trHeight w:val="253"/>
        </w:trPr>
        <w:tc>
          <w:tcPr>
            <w:tcW w:w="2225" w:type="pct"/>
            <w:shd w:val="clear" w:color="auto" w:fill="auto"/>
          </w:tcPr>
          <w:p w:rsidR="00605EC6" w:rsidRPr="00ED5F97" w:rsidRDefault="00605EC6" w:rsidP="00605EC6">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გამკაცრებული მონეტარული პოლიტიკის შენარჩუნება</w:t>
            </w:r>
          </w:p>
        </w:tc>
        <w:tc>
          <w:tcPr>
            <w:tcW w:w="889" w:type="pct"/>
            <w:shd w:val="clear" w:color="auto" w:fill="E2EFD9" w:themeFill="accent6" w:themeFillTint="33"/>
            <w:vAlign w:val="center"/>
          </w:tcPr>
          <w:p w:rsidR="00605EC6" w:rsidRPr="00ED5F97" w:rsidRDefault="003879E8" w:rsidP="00605EC6">
            <w:pPr>
              <w:jc w:val="center"/>
              <w:rPr>
                <w:rFonts w:ascii="Sylfaen" w:eastAsia="Calibri" w:hAnsi="Sylfaen" w:cs="Times New Roman"/>
                <w:b/>
                <w:sz w:val="20"/>
                <w:szCs w:val="20"/>
                <w:lang w:val="ka-GE"/>
              </w:rPr>
            </w:pPr>
            <w:r w:rsidRPr="00ED5F97">
              <w:rPr>
                <w:rFonts w:ascii="Sylfaen" w:eastAsia="Calibri" w:hAnsi="Sylfaen" w:cs="Times New Roman"/>
                <w:b/>
                <w:sz w:val="20"/>
                <w:szCs w:val="20"/>
              </w:rPr>
              <w:t>X</w:t>
            </w:r>
          </w:p>
        </w:tc>
        <w:tc>
          <w:tcPr>
            <w:tcW w:w="952" w:type="pct"/>
            <w:shd w:val="clear" w:color="auto" w:fill="FFF2CC" w:themeFill="accent4" w:themeFillTint="33"/>
            <w:vAlign w:val="center"/>
          </w:tcPr>
          <w:p w:rsidR="00605EC6" w:rsidRPr="00ED5F97" w:rsidRDefault="00605EC6" w:rsidP="00605EC6">
            <w:pPr>
              <w:jc w:val="center"/>
              <w:rPr>
                <w:rFonts w:ascii="Sylfaen" w:eastAsia="Calibri" w:hAnsi="Sylfaen" w:cs="Times New Roman"/>
                <w:b/>
                <w:sz w:val="20"/>
                <w:szCs w:val="20"/>
                <w:lang w:val="ka-GE"/>
              </w:rPr>
            </w:pPr>
          </w:p>
        </w:tc>
        <w:tc>
          <w:tcPr>
            <w:tcW w:w="934" w:type="pct"/>
            <w:shd w:val="clear" w:color="auto" w:fill="F7CAAC" w:themeFill="accent2" w:themeFillTint="66"/>
            <w:vAlign w:val="center"/>
          </w:tcPr>
          <w:p w:rsidR="00605EC6" w:rsidRPr="00ED5F97" w:rsidRDefault="00605EC6" w:rsidP="00605EC6">
            <w:pPr>
              <w:jc w:val="center"/>
              <w:rPr>
                <w:rFonts w:ascii="Sylfaen" w:eastAsia="Calibri" w:hAnsi="Sylfaen" w:cs="Times New Roman"/>
                <w:b/>
                <w:sz w:val="20"/>
                <w:szCs w:val="20"/>
              </w:rPr>
            </w:pPr>
          </w:p>
        </w:tc>
      </w:tr>
      <w:tr w:rsidR="00605EC6" w:rsidRPr="00771980" w:rsidTr="00E46D4F">
        <w:trPr>
          <w:trHeight w:val="222"/>
        </w:trPr>
        <w:tc>
          <w:tcPr>
            <w:tcW w:w="2225" w:type="pct"/>
            <w:shd w:val="clear" w:color="auto" w:fill="auto"/>
          </w:tcPr>
          <w:p w:rsidR="00605EC6" w:rsidRPr="00ED5F97" w:rsidRDefault="00605EC6" w:rsidP="00605EC6">
            <w:pPr>
              <w:jc w:val="both"/>
              <w:rPr>
                <w:rFonts w:ascii="Sylfaen" w:eastAsia="Calibri" w:hAnsi="Sylfaen" w:cs="Times New Roman"/>
                <w:sz w:val="20"/>
                <w:szCs w:val="20"/>
                <w:lang w:val="ka-GE"/>
              </w:rPr>
            </w:pPr>
            <w:r w:rsidRPr="00ED5F97">
              <w:rPr>
                <w:rFonts w:ascii="Sylfaen" w:eastAsia="Calibri" w:hAnsi="Sylfaen" w:cs="Times New Roman"/>
                <w:sz w:val="20"/>
                <w:szCs w:val="20"/>
                <w:lang w:val="ka-GE"/>
              </w:rPr>
              <w:t xml:space="preserve">მსოფლიოში ეკონომიკური ზრდის მოსალოდნელი შემცირება </w:t>
            </w:r>
          </w:p>
        </w:tc>
        <w:tc>
          <w:tcPr>
            <w:tcW w:w="889" w:type="pct"/>
            <w:shd w:val="clear" w:color="auto" w:fill="E2EFD9" w:themeFill="accent6" w:themeFillTint="33"/>
            <w:vAlign w:val="center"/>
          </w:tcPr>
          <w:p w:rsidR="00605EC6" w:rsidRPr="006935BC" w:rsidRDefault="00605EC6" w:rsidP="00605EC6">
            <w:pPr>
              <w:jc w:val="center"/>
              <w:rPr>
                <w:rFonts w:ascii="Sylfaen" w:eastAsia="Calibri" w:hAnsi="Sylfaen" w:cs="Times New Roman"/>
                <w:b/>
                <w:sz w:val="20"/>
                <w:szCs w:val="20"/>
              </w:rPr>
            </w:pPr>
            <w:r w:rsidRPr="00ED5F97">
              <w:rPr>
                <w:rFonts w:ascii="Sylfaen" w:eastAsia="Calibri" w:hAnsi="Sylfaen" w:cs="Times New Roman"/>
                <w:b/>
                <w:sz w:val="20"/>
                <w:szCs w:val="20"/>
              </w:rPr>
              <w:t>X</w:t>
            </w:r>
          </w:p>
        </w:tc>
        <w:tc>
          <w:tcPr>
            <w:tcW w:w="952" w:type="pct"/>
            <w:shd w:val="clear" w:color="auto" w:fill="FFF2CC" w:themeFill="accent4" w:themeFillTint="33"/>
            <w:vAlign w:val="center"/>
          </w:tcPr>
          <w:p w:rsidR="00605EC6" w:rsidRPr="006935BC" w:rsidRDefault="00605EC6" w:rsidP="00605EC6">
            <w:pPr>
              <w:jc w:val="center"/>
              <w:rPr>
                <w:rFonts w:ascii="Sylfaen" w:eastAsia="Calibri" w:hAnsi="Sylfaen" w:cs="Times New Roman"/>
                <w:b/>
                <w:sz w:val="20"/>
                <w:szCs w:val="20"/>
              </w:rPr>
            </w:pPr>
          </w:p>
        </w:tc>
        <w:tc>
          <w:tcPr>
            <w:tcW w:w="934" w:type="pct"/>
            <w:shd w:val="clear" w:color="auto" w:fill="F7CAAC" w:themeFill="accent2" w:themeFillTint="66"/>
            <w:vAlign w:val="center"/>
          </w:tcPr>
          <w:p w:rsidR="00605EC6" w:rsidRPr="006935BC" w:rsidRDefault="00605EC6" w:rsidP="00605EC6">
            <w:pPr>
              <w:jc w:val="center"/>
              <w:rPr>
                <w:rFonts w:ascii="Sylfaen" w:eastAsia="Calibri" w:hAnsi="Sylfaen" w:cs="Times New Roman"/>
                <w:b/>
                <w:sz w:val="20"/>
                <w:szCs w:val="20"/>
                <w:lang w:val="ka-GE"/>
              </w:rPr>
            </w:pPr>
          </w:p>
        </w:tc>
      </w:tr>
    </w:tbl>
    <w:p w:rsidR="00DE6541" w:rsidRDefault="00630CEC" w:rsidP="00630CEC">
      <w:pPr>
        <w:tabs>
          <w:tab w:val="left" w:pos="3390"/>
        </w:tabs>
      </w:pPr>
      <w:r>
        <w:tab/>
      </w:r>
    </w:p>
    <w:sectPr w:rsidR="00DE65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9A" w:rsidRDefault="00F9529A" w:rsidP="00ED5F97">
      <w:pPr>
        <w:spacing w:after="0" w:line="240" w:lineRule="auto"/>
      </w:pPr>
      <w:r>
        <w:separator/>
      </w:r>
    </w:p>
  </w:endnote>
  <w:endnote w:type="continuationSeparator" w:id="0">
    <w:p w:rsidR="00F9529A" w:rsidRDefault="00F9529A" w:rsidP="00ED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1536621"/>
      <w:docPartObj>
        <w:docPartGallery w:val="Page Numbers (Bottom of Page)"/>
        <w:docPartUnique/>
      </w:docPartObj>
    </w:sdtPr>
    <w:sdtEndPr>
      <w:rPr>
        <w:noProof/>
      </w:rPr>
    </w:sdtEndPr>
    <w:sdtContent>
      <w:p w:rsidR="00ED5F97" w:rsidRDefault="00ED5F97">
        <w:pPr>
          <w:pStyle w:val="Footer"/>
          <w:jc w:val="right"/>
        </w:pPr>
        <w:r>
          <w:fldChar w:fldCharType="begin"/>
        </w:r>
        <w:r>
          <w:instrText xml:space="preserve"> PAGE   \* MERGEFORMAT </w:instrText>
        </w:r>
        <w:r>
          <w:fldChar w:fldCharType="separate"/>
        </w:r>
        <w:r w:rsidR="00F720DC">
          <w:rPr>
            <w:noProof/>
          </w:rPr>
          <w:t>5</w:t>
        </w:r>
        <w:r>
          <w:rPr>
            <w:noProof/>
          </w:rPr>
          <w:fldChar w:fldCharType="end"/>
        </w:r>
      </w:p>
    </w:sdtContent>
  </w:sdt>
  <w:p w:rsidR="00ED5F97" w:rsidRDefault="00ED5F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9A" w:rsidRDefault="00F9529A" w:rsidP="00ED5F97">
      <w:pPr>
        <w:spacing w:after="0" w:line="240" w:lineRule="auto"/>
      </w:pPr>
      <w:r>
        <w:separator/>
      </w:r>
    </w:p>
  </w:footnote>
  <w:footnote w:type="continuationSeparator" w:id="0">
    <w:p w:rsidR="00F9529A" w:rsidRDefault="00F9529A" w:rsidP="00ED5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90007"/>
    <w:multiLevelType w:val="hybridMultilevel"/>
    <w:tmpl w:val="7C2AFA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B91C88"/>
    <w:multiLevelType w:val="hybridMultilevel"/>
    <w:tmpl w:val="922C413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BA"/>
    <w:rsid w:val="00012156"/>
    <w:rsid w:val="000258A2"/>
    <w:rsid w:val="000417B4"/>
    <w:rsid w:val="00045F23"/>
    <w:rsid w:val="00054611"/>
    <w:rsid w:val="00061722"/>
    <w:rsid w:val="00071E87"/>
    <w:rsid w:val="00080D31"/>
    <w:rsid w:val="0010656A"/>
    <w:rsid w:val="001818B9"/>
    <w:rsid w:val="00185086"/>
    <w:rsid w:val="00212EDB"/>
    <w:rsid w:val="00247502"/>
    <w:rsid w:val="002E36B8"/>
    <w:rsid w:val="002F5418"/>
    <w:rsid w:val="00352047"/>
    <w:rsid w:val="003879E8"/>
    <w:rsid w:val="003F370F"/>
    <w:rsid w:val="00461294"/>
    <w:rsid w:val="004A7081"/>
    <w:rsid w:val="004C6B43"/>
    <w:rsid w:val="005802BA"/>
    <w:rsid w:val="00605EC6"/>
    <w:rsid w:val="0063014D"/>
    <w:rsid w:val="00630CEC"/>
    <w:rsid w:val="00657640"/>
    <w:rsid w:val="0065774D"/>
    <w:rsid w:val="00663BE2"/>
    <w:rsid w:val="006D2BCE"/>
    <w:rsid w:val="007646A7"/>
    <w:rsid w:val="00766DB8"/>
    <w:rsid w:val="007E4711"/>
    <w:rsid w:val="008854F9"/>
    <w:rsid w:val="008A5D6C"/>
    <w:rsid w:val="008B0DEC"/>
    <w:rsid w:val="009373B2"/>
    <w:rsid w:val="00972400"/>
    <w:rsid w:val="00976D09"/>
    <w:rsid w:val="00A24EAF"/>
    <w:rsid w:val="00A46DE7"/>
    <w:rsid w:val="00A6597F"/>
    <w:rsid w:val="00A70D30"/>
    <w:rsid w:val="00B3040A"/>
    <w:rsid w:val="00B52A9F"/>
    <w:rsid w:val="00B55563"/>
    <w:rsid w:val="00BB3A81"/>
    <w:rsid w:val="00BF2098"/>
    <w:rsid w:val="00C338DA"/>
    <w:rsid w:val="00C46AAF"/>
    <w:rsid w:val="00C668D2"/>
    <w:rsid w:val="00DA4ADA"/>
    <w:rsid w:val="00DE6541"/>
    <w:rsid w:val="00E46D4F"/>
    <w:rsid w:val="00E62B58"/>
    <w:rsid w:val="00ED5F97"/>
    <w:rsid w:val="00EF00E7"/>
    <w:rsid w:val="00F366A6"/>
    <w:rsid w:val="00F46419"/>
    <w:rsid w:val="00F720DC"/>
    <w:rsid w:val="00F9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B654D"/>
  <w15:chartTrackingRefBased/>
  <w15:docId w15:val="{DD8DD8C7-B42C-44EE-B8CB-571EBE98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5802BA"/>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5802BA"/>
  </w:style>
  <w:style w:type="character" w:styleId="CommentReference">
    <w:name w:val="annotation reference"/>
    <w:basedOn w:val="DefaultParagraphFont"/>
    <w:uiPriority w:val="99"/>
    <w:rsid w:val="005802BA"/>
    <w:rPr>
      <w:sz w:val="16"/>
      <w:szCs w:val="16"/>
    </w:rPr>
  </w:style>
  <w:style w:type="paragraph" w:styleId="CommentText">
    <w:name w:val="annotation text"/>
    <w:basedOn w:val="Normal"/>
    <w:link w:val="CommentTextChar"/>
    <w:uiPriority w:val="99"/>
    <w:rsid w:val="005802BA"/>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5802BA"/>
    <w:rPr>
      <w:rFonts w:ascii="Times New Roman" w:eastAsia="Times New Roman" w:hAnsi="Times New Roman" w:cs="Times New Roman"/>
      <w:sz w:val="20"/>
      <w:szCs w:val="20"/>
      <w:lang w:val="ru-RU"/>
    </w:rPr>
  </w:style>
  <w:style w:type="table" w:styleId="TableGrid">
    <w:name w:val="Table Grid"/>
    <w:basedOn w:val="TableNormal"/>
    <w:rsid w:val="00580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02BA"/>
    <w:pPr>
      <w:spacing w:before="100" w:beforeAutospacing="1" w:after="100" w:afterAutospacing="1" w:line="240" w:lineRule="auto"/>
    </w:pPr>
    <w:rPr>
      <w:rFonts w:ascii="Times New Roman" w:hAnsi="Times New Roman" w:cs="Times New Roman"/>
      <w:sz w:val="24"/>
      <w:szCs w:val="24"/>
    </w:rPr>
  </w:style>
  <w:style w:type="paragraph" w:customStyle="1" w:styleId="Caption1">
    <w:name w:val="Caption1"/>
    <w:basedOn w:val="Normal"/>
    <w:next w:val="Normal"/>
    <w:uiPriority w:val="35"/>
    <w:unhideWhenUsed/>
    <w:qFormat/>
    <w:rsid w:val="005802BA"/>
    <w:pPr>
      <w:spacing w:line="240" w:lineRule="auto"/>
    </w:pPr>
    <w:rPr>
      <w:i/>
      <w:iCs/>
      <w:color w:val="44546A"/>
      <w:sz w:val="18"/>
      <w:szCs w:val="18"/>
    </w:rPr>
  </w:style>
  <w:style w:type="paragraph" w:styleId="BalloonText">
    <w:name w:val="Balloon Text"/>
    <w:basedOn w:val="Normal"/>
    <w:link w:val="BalloonTextChar"/>
    <w:uiPriority w:val="99"/>
    <w:semiHidden/>
    <w:unhideWhenUsed/>
    <w:rsid w:val="005802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B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5F23"/>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045F23"/>
    <w:rPr>
      <w:rFonts w:ascii="Times New Roman" w:eastAsia="Times New Roman" w:hAnsi="Times New Roman" w:cs="Times New Roman"/>
      <w:b/>
      <w:bCs/>
      <w:sz w:val="20"/>
      <w:szCs w:val="20"/>
      <w:lang w:val="ru-RU"/>
    </w:rPr>
  </w:style>
  <w:style w:type="paragraph" w:styleId="Header">
    <w:name w:val="header"/>
    <w:basedOn w:val="Normal"/>
    <w:link w:val="HeaderChar"/>
    <w:uiPriority w:val="99"/>
    <w:unhideWhenUsed/>
    <w:rsid w:val="00ED5F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F97"/>
  </w:style>
  <w:style w:type="paragraph" w:styleId="Footer">
    <w:name w:val="footer"/>
    <w:basedOn w:val="Normal"/>
    <w:link w:val="FooterChar"/>
    <w:uiPriority w:val="99"/>
    <w:unhideWhenUsed/>
    <w:rsid w:val="00ED5F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71666">
      <w:bodyDiv w:val="1"/>
      <w:marLeft w:val="0"/>
      <w:marRight w:val="0"/>
      <w:marTop w:val="0"/>
      <w:marBottom w:val="0"/>
      <w:divBdr>
        <w:top w:val="none" w:sz="0" w:space="0" w:color="auto"/>
        <w:left w:val="none" w:sz="0" w:space="0" w:color="auto"/>
        <w:bottom w:val="none" w:sz="0" w:space="0" w:color="auto"/>
        <w:right w:val="none" w:sz="0" w:space="0" w:color="auto"/>
      </w:divBdr>
    </w:div>
    <w:div w:id="424157255">
      <w:bodyDiv w:val="1"/>
      <w:marLeft w:val="0"/>
      <w:marRight w:val="0"/>
      <w:marTop w:val="0"/>
      <w:marBottom w:val="0"/>
      <w:divBdr>
        <w:top w:val="none" w:sz="0" w:space="0" w:color="auto"/>
        <w:left w:val="none" w:sz="0" w:space="0" w:color="auto"/>
        <w:bottom w:val="none" w:sz="0" w:space="0" w:color="auto"/>
        <w:right w:val="none" w:sz="0" w:space="0" w:color="auto"/>
      </w:divBdr>
    </w:div>
    <w:div w:id="763693241">
      <w:bodyDiv w:val="1"/>
      <w:marLeft w:val="0"/>
      <w:marRight w:val="0"/>
      <w:marTop w:val="0"/>
      <w:marBottom w:val="0"/>
      <w:divBdr>
        <w:top w:val="none" w:sz="0" w:space="0" w:color="auto"/>
        <w:left w:val="none" w:sz="0" w:space="0" w:color="auto"/>
        <w:bottom w:val="none" w:sz="0" w:space="0" w:color="auto"/>
        <w:right w:val="none" w:sz="0" w:space="0" w:color="auto"/>
      </w:divBdr>
    </w:div>
    <w:div w:id="866405618">
      <w:bodyDiv w:val="1"/>
      <w:marLeft w:val="0"/>
      <w:marRight w:val="0"/>
      <w:marTop w:val="0"/>
      <w:marBottom w:val="0"/>
      <w:divBdr>
        <w:top w:val="none" w:sz="0" w:space="0" w:color="auto"/>
        <w:left w:val="none" w:sz="0" w:space="0" w:color="auto"/>
        <w:bottom w:val="none" w:sz="0" w:space="0" w:color="auto"/>
        <w:right w:val="none" w:sz="0" w:space="0" w:color="auto"/>
      </w:divBdr>
    </w:div>
    <w:div w:id="972102197">
      <w:bodyDiv w:val="1"/>
      <w:marLeft w:val="0"/>
      <w:marRight w:val="0"/>
      <w:marTop w:val="0"/>
      <w:marBottom w:val="0"/>
      <w:divBdr>
        <w:top w:val="none" w:sz="0" w:space="0" w:color="auto"/>
        <w:left w:val="none" w:sz="0" w:space="0" w:color="auto"/>
        <w:bottom w:val="none" w:sz="0" w:space="0" w:color="auto"/>
        <w:right w:val="none" w:sz="0" w:space="0" w:color="auto"/>
      </w:divBdr>
    </w:div>
    <w:div w:id="1002514829">
      <w:bodyDiv w:val="1"/>
      <w:marLeft w:val="0"/>
      <w:marRight w:val="0"/>
      <w:marTop w:val="0"/>
      <w:marBottom w:val="0"/>
      <w:divBdr>
        <w:top w:val="none" w:sz="0" w:space="0" w:color="auto"/>
        <w:left w:val="none" w:sz="0" w:space="0" w:color="auto"/>
        <w:bottom w:val="none" w:sz="0" w:space="0" w:color="auto"/>
        <w:right w:val="none" w:sz="0" w:space="0" w:color="auto"/>
      </w:divBdr>
    </w:div>
    <w:div w:id="1108155893">
      <w:bodyDiv w:val="1"/>
      <w:marLeft w:val="0"/>
      <w:marRight w:val="0"/>
      <w:marTop w:val="0"/>
      <w:marBottom w:val="0"/>
      <w:divBdr>
        <w:top w:val="none" w:sz="0" w:space="0" w:color="auto"/>
        <w:left w:val="none" w:sz="0" w:space="0" w:color="auto"/>
        <w:bottom w:val="none" w:sz="0" w:space="0" w:color="auto"/>
        <w:right w:val="none" w:sz="0" w:space="0" w:color="auto"/>
      </w:divBdr>
    </w:div>
    <w:div w:id="1518351809">
      <w:bodyDiv w:val="1"/>
      <w:marLeft w:val="0"/>
      <w:marRight w:val="0"/>
      <w:marTop w:val="0"/>
      <w:marBottom w:val="0"/>
      <w:divBdr>
        <w:top w:val="none" w:sz="0" w:space="0" w:color="auto"/>
        <w:left w:val="none" w:sz="0" w:space="0" w:color="auto"/>
        <w:bottom w:val="none" w:sz="0" w:space="0" w:color="auto"/>
        <w:right w:val="none" w:sz="0" w:space="0" w:color="auto"/>
      </w:divBdr>
    </w:div>
    <w:div w:id="1518739448">
      <w:bodyDiv w:val="1"/>
      <w:marLeft w:val="0"/>
      <w:marRight w:val="0"/>
      <w:marTop w:val="0"/>
      <w:marBottom w:val="0"/>
      <w:divBdr>
        <w:top w:val="none" w:sz="0" w:space="0" w:color="auto"/>
        <w:left w:val="none" w:sz="0" w:space="0" w:color="auto"/>
        <w:bottom w:val="none" w:sz="0" w:space="0" w:color="auto"/>
        <w:right w:val="none" w:sz="0" w:space="0" w:color="auto"/>
      </w:divBdr>
    </w:div>
    <w:div w:id="1596279978">
      <w:bodyDiv w:val="1"/>
      <w:marLeft w:val="0"/>
      <w:marRight w:val="0"/>
      <w:marTop w:val="0"/>
      <w:marBottom w:val="0"/>
      <w:divBdr>
        <w:top w:val="none" w:sz="0" w:space="0" w:color="auto"/>
        <w:left w:val="none" w:sz="0" w:space="0" w:color="auto"/>
        <w:bottom w:val="none" w:sz="0" w:space="0" w:color="auto"/>
        <w:right w:val="none" w:sz="0" w:space="0" w:color="auto"/>
      </w:divBdr>
    </w:div>
    <w:div w:id="193227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Natia Gulua</dc:creator>
  <cp:keywords/>
  <dc:description/>
  <cp:lastModifiedBy>Inga Gurgenidze</cp:lastModifiedBy>
  <cp:revision>7</cp:revision>
  <dcterms:created xsi:type="dcterms:W3CDTF">2025-03-21T14:21:00Z</dcterms:created>
  <dcterms:modified xsi:type="dcterms:W3CDTF">2025-03-25T10:46:00Z</dcterms:modified>
</cp:coreProperties>
</file>